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widowControl w:val="0"/>
        <w:snapToGrid w:val="0"/>
        <w:spacing w:before="0" w:after="0" w:line="240" w:lineRule="auto"/>
        <w:rPr>
          <w:rFonts w:hint="default" w:ascii="方正小标宋简体" w:eastAsia="方正小标宋简体"/>
          <w:color w:val="FF0000"/>
          <w:spacing w:val="0"/>
          <w:w w:val="42"/>
          <w:sz w:val="140"/>
          <w:szCs w:val="140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0"/>
          <w:w w:val="42"/>
          <w:sz w:val="140"/>
          <w:szCs w:val="140"/>
          <w:lang w:val="en-US" w:eastAsia="zh-CN"/>
        </w:rPr>
        <w:t>枣庄市台儿庄</w:t>
      </w:r>
      <w:r>
        <w:rPr>
          <w:rFonts w:hint="eastAsia" w:ascii="方正小标宋简体" w:eastAsia="方正小标宋简体"/>
          <w:color w:val="FF0000"/>
          <w:spacing w:val="0"/>
          <w:w w:val="42"/>
          <w:sz w:val="140"/>
          <w:szCs w:val="140"/>
          <w:lang w:eastAsia="zh-CN"/>
        </w:rPr>
        <w:t>区</w:t>
      </w:r>
      <w:r>
        <w:rPr>
          <w:rFonts w:hint="eastAsia" w:ascii="方正小标宋简体" w:eastAsia="方正小标宋简体"/>
          <w:color w:val="FF0000"/>
          <w:spacing w:val="0"/>
          <w:w w:val="42"/>
          <w:sz w:val="140"/>
          <w:szCs w:val="140"/>
          <w:lang w:val="en-US" w:eastAsia="zh-CN"/>
        </w:rPr>
        <w:t>工业和信息化局</w:t>
      </w:r>
    </w:p>
    <w:p>
      <w:pPr>
        <w:pStyle w:val="2"/>
        <w:ind w:firstLine="0"/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台工信字﹝2023﹞第2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                  签发人：赵作明</w:t>
      </w:r>
    </w:p>
    <w:p>
      <w:pPr>
        <w:spacing w:line="100" w:lineRule="exact"/>
        <w:jc w:val="center"/>
        <w:rPr>
          <w:rFonts w:ascii="宋体" w:hAnsi="宋体" w:cs="宋体"/>
          <w:b/>
          <w:bCs/>
          <w:szCs w:val="18"/>
        </w:rPr>
      </w:pPr>
      <w:r>
        <w:rPr>
          <w:rFonts w:hint="eastAsia" w:ascii="宋体" w:hAnsi="宋体" w:cs="宋体"/>
          <w:b/>
          <w:bCs/>
          <w:sz w:val="32"/>
          <w:szCs w:val="18"/>
        </w:rPr>
        <w:t xml:space="preserve">                    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Cs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722620" cy="0"/>
                <wp:effectExtent l="0" t="8255" r="7620" b="1460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50.6pt;z-index:251661312;mso-width-relative:page;mso-height-relative:page;" filled="f" stroked="t" coordsize="21600,21600" o:gfxdata="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lz8QbTAAAABQEAAA8AAAAAAAAAAQAgAAAAIgAAAGRycy9kb3ducmV2LnhtbFBLAQIU&#10;ABQAAAAIAIdO4kAurxHi+AEAAOcDAAAOAAAAAAAAAAEAIAAAACIBAABkcnMvZTJvRG9jLnhtbFBL&#10;BQYAAAAABgAGAFkBAACM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sz w:val="32"/>
          <w:szCs w:val="18"/>
        </w:rPr>
        <w:t xml:space="preserve">                                      </w:t>
      </w:r>
      <w:r>
        <w:rPr>
          <w:rFonts w:ascii="宋体" w:hAnsi="宋体" w:cs="宋体"/>
          <w:b/>
          <w:bCs/>
          <w:sz w:val="32"/>
          <w:szCs w:val="18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18"/>
        </w:rPr>
        <w:t>答复类型：B</w:t>
      </w:r>
    </w:p>
    <w:p>
      <w:pPr>
        <w:pStyle w:val="2"/>
        <w:spacing w:line="560" w:lineRule="exact"/>
      </w:pPr>
      <w:r>
        <w:rPr>
          <w:rFonts w:hint="eastAsia"/>
        </w:rPr>
        <w:t xml:space="preserve">                               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关于对区政协十届二次会议第01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号提案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答复的函</w:t>
      </w:r>
      <w:bookmarkEnd w:id="0"/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徐君、王敏、杨仁伟、张平、栗平、季颂华委员：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您们提出的提案《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关于助推“专精特新”中小企业发展的建议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》收悉，</w:t>
      </w:r>
      <w:r>
        <w:rPr>
          <w:rFonts w:hint="eastAsia" w:ascii="仿宋_GB2312" w:hAnsi="仿宋_GB2312" w:eastAsia="仿宋_GB2312" w:cs="仿宋_GB2312"/>
          <w:sz w:val="32"/>
          <w:szCs w:val="32"/>
        </w:rPr>
        <w:t>感谢您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对区工业和信息化局工作的支持，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经商</w:t>
      </w:r>
      <w:r>
        <w:rPr>
          <w:rFonts w:hint="eastAsia" w:ascii="仿宋_GB2312" w:hAnsi="仿宋_GB2312" w:eastAsia="仿宋_GB2312" w:cs="仿宋_GB2312"/>
          <w:sz w:val="32"/>
          <w:szCs w:val="32"/>
        </w:rPr>
        <w:t>（会办单位</w:t>
      </w:r>
      <w:r>
        <w:rPr>
          <w:rFonts w:ascii="仿宋_GB2312" w:hAnsi="仿宋_GB2312" w:eastAsia="仿宋_GB2312" w:cs="仿宋_GB2312"/>
          <w:sz w:val="32"/>
          <w:szCs w:val="32"/>
        </w:rPr>
        <w:t>区科学技术局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区金融服务中心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），现答复如下：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提案中提出建议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3条，其中涉及我单位2条，涉及协办单位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条，已采纳落实（解决）3条，落实率100%。</w:t>
      </w:r>
      <w:r>
        <w:rPr>
          <w:rFonts w:hint="eastAsia" w:ascii="仿宋_GB2312" w:hAnsi="仿宋_GB2312" w:eastAsia="仿宋_GB2312" w:cs="仿宋_GB2312"/>
          <w:sz w:val="32"/>
          <w:szCs w:val="32"/>
        </w:rPr>
        <w:t>已与委员沟通，通过电话沟通方式沟通。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高度重视政协提案办理工作，成立了由主要负责人任组长的提案办理工作专班，对提案进行梳理分解，明确责任分工，确保提案办理落到实处。针对《关于助推“专精特新”中小企业发展的建议》（第0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号），我局制定了第0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号提案办理工作方案，有序推进各项措施落实落细。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一、聚焦科技创新，引领企业创新成长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持续强化企业创新主体地位，把产业创新作为主战场，鼓励我区链主企业、头部企业、优质企业牵头承担省、市级重大项目，</w:t>
      </w:r>
      <w:r>
        <w:rPr>
          <w:rFonts w:hint="eastAsia" w:ascii="仿宋_GB2312" w:eastAsia="仿宋_GB2312"/>
          <w:sz w:val="32"/>
          <w:szCs w:val="32"/>
        </w:rPr>
        <w:t>推进“产业链</w:t>
      </w:r>
      <w:r>
        <w:rPr>
          <w:rFonts w:ascii="仿宋_GB2312" w:eastAsia="仿宋_GB2312"/>
          <w:sz w:val="32"/>
          <w:szCs w:val="32"/>
        </w:rPr>
        <w:t>-创新链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深度融合、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锻长板-补短板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相互结合，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坚持深化产学研融合发展，</w:t>
      </w:r>
      <w:r>
        <w:rPr>
          <w:rFonts w:ascii="仿宋_GB2312" w:eastAsia="仿宋_GB2312"/>
          <w:sz w:val="32"/>
          <w:szCs w:val="32"/>
        </w:rPr>
        <w:t>广泛汇聚优势研发力量，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引导企业加快关键核心技术攻关，通过“揭榜制”“赛马制”着力突破一批制约产业发展的关键技术问题，</w:t>
      </w:r>
      <w:r>
        <w:rPr>
          <w:rFonts w:hint="eastAsia" w:ascii="仿宋_GB2312" w:eastAsia="仿宋_GB2312"/>
          <w:sz w:val="32"/>
          <w:szCs w:val="32"/>
        </w:rPr>
        <w:t>助力实现产业技术成果转化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今年以来，组织鑫金山、天科新能源、汉森等企业对接山东大学、常州大学、合肥工业大学等科研院所，寻求锂电新能源、高端装备产业等领域的产学研合作；</w:t>
      </w:r>
      <w:r>
        <w:rPr>
          <w:rFonts w:ascii="仿宋_GB2312" w:hAnsi="仿宋_GB2312" w:eastAsia="仿宋_GB2312" w:cs="仿宋_GB2312"/>
          <w:sz w:val="32"/>
          <w:szCs w:val="32"/>
        </w:rPr>
        <w:t>组织越成制动申报2023年度山东省重点研发计划（重大科技创新工程）第一批项目，完成省专家组现场考察；指导运丰良蔬等5家企业获批枣庄市科技型中小企业创新能力提升工程项目，获批资金共140万元，其中瑞隆机械、明源机械2家企业获批省级立项，获批资金55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；运丰粮蔬、盛世机械入选国家可持续发展议程创新示范区项目指南。</w:t>
      </w:r>
      <w:r>
        <w:rPr>
          <w:rFonts w:hint="eastAsia" w:ascii="仿宋_GB2312" w:eastAsia="仿宋_GB2312"/>
          <w:sz w:val="32"/>
          <w:szCs w:val="32"/>
        </w:rPr>
        <w:t>协助联润、瑞隆等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家企业研发项目成功申报省级技术创新项目。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二、强化人才引育，打造人才资源高地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坚持人才引领驱动</w:t>
      </w:r>
      <w:r>
        <w:rPr>
          <w:rFonts w:hint="eastAsia" w:ascii="仿宋_GB2312" w:eastAsia="仿宋_GB2312"/>
          <w:sz w:val="32"/>
          <w:szCs w:val="32"/>
        </w:rPr>
        <w:t>，持续开展常态化需求调研、完善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服务事项、提供人才落地</w:t>
      </w:r>
      <w:r>
        <w:rPr>
          <w:rFonts w:hint="eastAsia" w:ascii="仿宋_GB2312" w:eastAsia="仿宋_GB2312"/>
          <w:sz w:val="32"/>
          <w:szCs w:val="32"/>
        </w:rPr>
        <w:t>全周期服务。今年以来，指导尧程、幻科创建博士后创新实践基地，目前已完成市级备案；指导明源赵福钰博士成功参评山东省取得突出成绩的博士后；指导联润新材料联合培养博士后</w:t>
      </w:r>
      <w:r>
        <w:rPr>
          <w:rFonts w:ascii="仿宋_GB2312" w:eastAsia="仿宋_GB2312"/>
          <w:sz w:val="32"/>
          <w:szCs w:val="32"/>
        </w:rPr>
        <w:t>1名，并推荐其申报博士后设站招收补贴10万元。推荐明源参加全省博士后科</w:t>
      </w:r>
      <w:r>
        <w:rPr>
          <w:rFonts w:hint="eastAsia" w:ascii="仿宋_GB2312" w:eastAsia="仿宋_GB2312"/>
          <w:sz w:val="32"/>
          <w:szCs w:val="32"/>
        </w:rPr>
        <w:t>研流动站工作站（实践基地）合作交流对接活动。动员区内合作博士及高层次人才创新大赛的博士申报创新赛、创业赛、揭榜领题赛。累计新增博士</w:t>
      </w:r>
      <w:r>
        <w:rPr>
          <w:rFonts w:ascii="仿宋_GB2312" w:eastAsia="仿宋_GB2312"/>
          <w:sz w:val="32"/>
          <w:szCs w:val="32"/>
        </w:rPr>
        <w:t>5人，海外留学人员9人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持续改善高层次创新型科技人才的科研工作环境和生活质量，</w:t>
      </w:r>
      <w:r>
        <w:rPr>
          <w:rFonts w:hint="eastAsia" w:ascii="仿宋_GB2312" w:eastAsia="仿宋_GB2312"/>
          <w:sz w:val="32"/>
          <w:szCs w:val="32"/>
        </w:rPr>
        <w:t>深化人才项目引领作用，今年以来，协助高层次人才</w:t>
      </w:r>
      <w:r>
        <w:rPr>
          <w:rFonts w:ascii="仿宋_GB2312" w:eastAsia="仿宋_GB2312"/>
          <w:sz w:val="32"/>
          <w:szCs w:val="32"/>
        </w:rPr>
        <w:t>申领枣庄市惠才卡3例，办理子女入学3例，发放就业补贴100.9万元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sz w:val="32"/>
          <w:szCs w:val="32"/>
        </w:rPr>
        <w:t>天科、胜达、联润等企业</w:t>
      </w:r>
      <w:r>
        <w:rPr>
          <w:rFonts w:ascii="仿宋_GB2312" w:eastAsia="仿宋_GB2312"/>
          <w:sz w:val="32"/>
          <w:szCs w:val="32"/>
        </w:rPr>
        <w:t>5名人才参评枣庄英才</w:t>
      </w:r>
      <w:r>
        <w:rPr>
          <w:rFonts w:hint="eastAsia" w:ascii="仿宋_GB2312" w:eastAsia="仿宋_GB2312"/>
          <w:sz w:val="32"/>
          <w:szCs w:val="32"/>
        </w:rPr>
        <w:t>产业创新、经营管理人才项目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目前已有</w:t>
      </w:r>
      <w:r>
        <w:rPr>
          <w:rFonts w:ascii="仿宋_GB2312" w:eastAsia="仿宋_GB2312"/>
          <w:sz w:val="32"/>
          <w:szCs w:val="32"/>
        </w:rPr>
        <w:t>3人</w:t>
      </w:r>
      <w:r>
        <w:rPr>
          <w:rFonts w:hint="eastAsia" w:ascii="仿宋_GB2312" w:eastAsia="仿宋_GB2312"/>
          <w:sz w:val="32"/>
          <w:szCs w:val="32"/>
        </w:rPr>
        <w:t>完成实地考察。成功推荐越成、联润等企业2名人才通过专精特新企业举荐渠道获评工程技术系列正高级职称。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三、强化金融支撑，破解发展融资难题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围绕金融要素保障，聚焦“上下联动、左右协同、快速响应、精准服务”方针，着力构建横到边纵到底的一体化金融服务体系，为专精特新企业发展保驾护航。今年以来，</w:t>
      </w:r>
      <w:r>
        <w:rPr>
          <w:rFonts w:hint="eastAsia" w:ascii="仿宋_GB2312" w:eastAsia="仿宋_GB2312"/>
          <w:sz w:val="32"/>
          <w:szCs w:val="32"/>
        </w:rPr>
        <w:t>持续开展“台城惠企金融行”活动，吸引投资机构“筑巢引凤”。整理</w:t>
      </w:r>
      <w:r>
        <w:rPr>
          <w:rFonts w:ascii="仿宋_GB2312" w:eastAsia="仿宋_GB2312"/>
          <w:sz w:val="32"/>
          <w:szCs w:val="32"/>
        </w:rPr>
        <w:t>60余家企业融资需求编制了《台儿庄区重点企业项目融资需求名单》，及时推送至各金融机构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开展“十百千万”金融辅导调研走访活动，实地走访百余家重点企业及项目，动态调整融资需求名单及时推送至银行机构，协调近20家企业纳入金融辅导并撮合结对，印发《枣庄市金融服务小微企业产品名录》5000余份</w:t>
      </w:r>
      <w:r>
        <w:rPr>
          <w:rFonts w:hint="eastAsia" w:ascii="仿宋_GB2312" w:eastAsia="仿宋_GB2312"/>
          <w:sz w:val="32"/>
          <w:szCs w:val="32"/>
        </w:rPr>
        <w:t>。今年以来，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协助永钰机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械、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合利机械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等20家企业申请科创贷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元，获批使用贷款4850万元。为丰元汇能、尧程科技等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5个项目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协调发放制造业中长期贷款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5.76亿元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仿宋_GB2312" w:eastAsia="仿宋_GB2312"/>
          <w:sz w:val="32"/>
          <w:szCs w:val="32"/>
        </w:rPr>
        <w:t>全区金融机构各项贷款余额共计</w:t>
      </w:r>
      <w:r>
        <w:rPr>
          <w:rFonts w:ascii="仿宋_GB2312" w:eastAsia="仿宋_GB2312"/>
          <w:sz w:val="32"/>
          <w:szCs w:val="32"/>
        </w:rPr>
        <w:t>157.19亿元，较年初增加18.78亿元、增长13.57%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工业贷款余额47.46亿元，较年初增加10.76亿元、增长29.3%，增长率位居全市第一。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下一步，我局将持续落实省、市</w:t>
      </w:r>
      <w:r>
        <w:rPr>
          <w:rFonts w:ascii="仿宋_GB2312" w:eastAsia="仿宋_GB2312"/>
          <w:sz w:val="32"/>
          <w:szCs w:val="32"/>
        </w:rPr>
        <w:t>加力提速工业经济高质量发展</w:t>
      </w:r>
      <w:r>
        <w:rPr>
          <w:rFonts w:hint="eastAsia" w:ascii="仿宋_GB2312" w:eastAsia="仿宋_GB2312"/>
          <w:sz w:val="32"/>
          <w:szCs w:val="32"/>
        </w:rPr>
        <w:t>部署要求，</w:t>
      </w:r>
      <w:r>
        <w:rPr>
          <w:rFonts w:ascii="仿宋_GB2312" w:eastAsia="仿宋_GB2312"/>
          <w:sz w:val="32"/>
          <w:szCs w:val="32"/>
        </w:rPr>
        <w:t>紧密联系</w:t>
      </w:r>
      <w:r>
        <w:rPr>
          <w:rFonts w:hint="eastAsia" w:ascii="仿宋_GB2312" w:eastAsia="仿宋_GB2312"/>
          <w:sz w:val="32"/>
          <w:szCs w:val="32"/>
        </w:rPr>
        <w:t>我区</w:t>
      </w:r>
      <w:r>
        <w:rPr>
          <w:rFonts w:ascii="仿宋_GB2312" w:eastAsia="仿宋_GB2312"/>
          <w:sz w:val="32"/>
          <w:szCs w:val="32"/>
        </w:rPr>
        <w:t>实际，</w:t>
      </w:r>
      <w:r>
        <w:rPr>
          <w:rFonts w:hint="eastAsia" w:ascii="仿宋_GB2312" w:eastAsia="仿宋_GB2312"/>
          <w:sz w:val="32"/>
          <w:szCs w:val="32"/>
        </w:rPr>
        <w:t>进一步推进专精特新等优质中小企业培育工作向好向优发展，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为县域经济突围赶超示范区建设贡献工信力量。</w:t>
      </w:r>
    </w:p>
    <w:p>
      <w:pPr>
        <w:pStyle w:val="8"/>
        <w:spacing w:after="0" w:line="560" w:lineRule="exact"/>
        <w:ind w:left="0" w:leftChars="0"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感谢您们长期以来对工业经济工作的关心与支持，请以后继续关注我们的工作并提出更多宝贵意见和建议。</w:t>
      </w:r>
    </w:p>
    <w:p>
      <w:pPr>
        <w:spacing w:line="560" w:lineRule="exact"/>
        <w:ind w:firstLine="640"/>
        <w:rPr>
          <w:rFonts w:ascii="Arial" w:hAnsi="Arial" w:eastAsia="宋体" w:cs="Arial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台儿庄区工业化和信息局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wordWrap w:val="0"/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联系人：刘祥明</w:t>
      </w:r>
      <w:r>
        <w:rPr>
          <w:rFonts w:ascii="仿宋_GB2312" w:hAnsi="宋体" w:eastAsia="仿宋_GB2312"/>
          <w:sz w:val="32"/>
          <w:szCs w:val="32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 xml:space="preserve"> 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0632-</w:t>
      </w: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ascii="仿宋_GB2312" w:hAnsi="宋体" w:eastAsia="仿宋_GB2312"/>
          <w:sz w:val="32"/>
          <w:szCs w:val="32"/>
        </w:rPr>
        <w:t>701012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/>
        </w:rPr>
        <w:sectPr>
          <w:footerReference r:id="rId3" w:type="default"/>
          <w:pgSz w:w="11906" w:h="16838"/>
          <w:pgMar w:top="1701" w:right="1531" w:bottom="1588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5722620" cy="0"/>
                <wp:effectExtent l="0" t="8255" r="7620" b="1460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0.45pt;height:0pt;width:450.6pt;z-index:251662336;mso-width-relative:page;mso-height-relative:page;" filled="f" stroked="t" coordsize="21600,21600" o:gfxdata="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IpDl9EAAAACAQAADwAAAAAAAAABACAAAAAiAAAAZHJzL2Rvd25yZXYueG1sUEsBAhQA&#10;FAAAAAgAh07iQMRV46v5AQAA5wMAAA4AAAAAAAAAAQAgAAAAIA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抄送：区政协提案委员会，区委督查室，区政府督查室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701" w:right="1587" w:bottom="1587" w:left="1587" w:header="851" w:footer="12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GFkYjIxY2M5OWE4YTg2NTcwY2VkNWM5YzFjMTIifQ=="/>
  </w:docVars>
  <w:rsids>
    <w:rsidRoot w:val="00000000"/>
    <w:rsid w:val="01C54B55"/>
    <w:rsid w:val="02B272E8"/>
    <w:rsid w:val="034343AE"/>
    <w:rsid w:val="0D444B80"/>
    <w:rsid w:val="12962ABD"/>
    <w:rsid w:val="13401BD9"/>
    <w:rsid w:val="14D4321C"/>
    <w:rsid w:val="15A7432A"/>
    <w:rsid w:val="18CB44AF"/>
    <w:rsid w:val="1A3B1DE9"/>
    <w:rsid w:val="1A9775AD"/>
    <w:rsid w:val="1DD25EC4"/>
    <w:rsid w:val="1ED0096A"/>
    <w:rsid w:val="26F708D2"/>
    <w:rsid w:val="2782795D"/>
    <w:rsid w:val="2A5B1356"/>
    <w:rsid w:val="2A7E5D2D"/>
    <w:rsid w:val="2AEB46C4"/>
    <w:rsid w:val="2B9F0453"/>
    <w:rsid w:val="2BCD4FE1"/>
    <w:rsid w:val="3284589B"/>
    <w:rsid w:val="33311CA1"/>
    <w:rsid w:val="35FB2001"/>
    <w:rsid w:val="39D505B7"/>
    <w:rsid w:val="3B1D063B"/>
    <w:rsid w:val="3B9B0B01"/>
    <w:rsid w:val="407211CB"/>
    <w:rsid w:val="40D629BD"/>
    <w:rsid w:val="41801923"/>
    <w:rsid w:val="439F102F"/>
    <w:rsid w:val="43CC243F"/>
    <w:rsid w:val="47F71F30"/>
    <w:rsid w:val="486750FC"/>
    <w:rsid w:val="48D32C81"/>
    <w:rsid w:val="49CF3448"/>
    <w:rsid w:val="4C687B84"/>
    <w:rsid w:val="4EB470B0"/>
    <w:rsid w:val="50016DE6"/>
    <w:rsid w:val="558644A0"/>
    <w:rsid w:val="561207BE"/>
    <w:rsid w:val="581B3E37"/>
    <w:rsid w:val="5AAE1E42"/>
    <w:rsid w:val="5CC076CB"/>
    <w:rsid w:val="5D8E1F3C"/>
    <w:rsid w:val="5F5F4B0A"/>
    <w:rsid w:val="62E93CC4"/>
    <w:rsid w:val="659203E3"/>
    <w:rsid w:val="667A5701"/>
    <w:rsid w:val="6B183244"/>
    <w:rsid w:val="76B15B00"/>
    <w:rsid w:val="78313D13"/>
    <w:rsid w:val="7B3271D0"/>
    <w:rsid w:val="7F5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黑体" w:cs="Times New Roman"/>
      <w:b/>
      <w:bCs/>
      <w:kern w:val="44"/>
      <w:sz w:val="28"/>
      <w:szCs w:val="44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0"/>
    <w:pPr>
      <w:keepNext w:val="0"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 w:cs="楷体_GB2312"/>
      <w:b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left="0" w:leftChars="0" w:firstLine="1090" w:firstLineChars="200"/>
      <w:jc w:val="left"/>
      <w:outlineLvl w:val="3"/>
    </w:pPr>
    <w:rPr>
      <w:rFonts w:ascii="Times New Roman" w:hAnsi="Times New Roman" w:eastAsia="仿宋_GB2312" w:cs="仿宋_GB2312"/>
      <w:snapToGrid w:val="0"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hAnsi="Calibri" w:eastAsia="仿宋_GB2312"/>
      <w:color w:val="000000"/>
      <w:sz w:val="36"/>
      <w:szCs w:val="36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</w:rPr>
  </w:style>
  <w:style w:type="paragraph" w:styleId="7">
    <w:name w:val="Body Text"/>
    <w:basedOn w:val="1"/>
    <w:qFormat/>
    <w:uiPriority w:val="0"/>
    <w:pPr>
      <w:spacing w:afterLines="0" w:afterAutospacing="0"/>
    </w:pPr>
    <w:rPr>
      <w:rFonts w:ascii="Calibri" w:hAnsi="Calibri" w:eastAsia="仿宋_GB2312" w:cstheme="minorBidi"/>
      <w:sz w:val="32"/>
    </w:rPr>
  </w:style>
  <w:style w:type="paragraph" w:styleId="8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9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10">
    <w:name w:val="Plain Text"/>
    <w:basedOn w:val="1"/>
    <w:unhideWhenUsed/>
    <w:qFormat/>
    <w:uiPriority w:val="99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14">
    <w:name w:val="Body Text First Indent 2"/>
    <w:basedOn w:val="8"/>
    <w:next w:val="1"/>
    <w:qFormat/>
    <w:uiPriority w:val="0"/>
    <w:pPr>
      <w:suppressAutoHyphens/>
      <w:spacing w:line="600" w:lineRule="exact"/>
      <w:ind w:left="0" w:leftChars="0" w:firstLine="200" w:firstLineChars="200"/>
    </w:pPr>
    <w:rPr>
      <w:rFonts w:eastAsia="仿宋_GB2312"/>
      <w:sz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标题 3 Char1"/>
    <w:link w:val="4"/>
    <w:qFormat/>
    <w:uiPriority w:val="0"/>
    <w:rPr>
      <w:rFonts w:ascii="楷体_GB2312" w:hAnsi="楷体_GB2312" w:eastAsia="楷体_GB2312" w:cs="楷体_GB2312"/>
      <w:b/>
      <w:sz w:val="32"/>
      <w:szCs w:val="32"/>
    </w:rPr>
  </w:style>
  <w:style w:type="paragraph" w:customStyle="1" w:styleId="19">
    <w:name w:val="章标题"/>
    <w:basedOn w:val="1"/>
    <w:next w:val="1"/>
    <w:qFormat/>
    <w:uiPriority w:val="0"/>
    <w:pPr>
      <w:adjustRightInd/>
      <w:snapToGrid/>
      <w:spacing w:before="158" w:after="153" w:line="646" w:lineRule="atLeast"/>
      <w:jc w:val="center"/>
    </w:pPr>
    <w:rPr>
      <w:rFonts w:ascii="Arial" w:hAnsi="Times New Roman" w:eastAsia="黑体"/>
      <w:color w:val="000000"/>
      <w:sz w:val="31"/>
      <w:szCs w:val="20"/>
      <w:u w:val="none" w:color="000000"/>
    </w:rPr>
  </w:style>
  <w:style w:type="paragraph" w:customStyle="1" w:styleId="20">
    <w:name w:val="Normal Indent1"/>
    <w:basedOn w:val="1"/>
    <w:qFormat/>
    <w:uiPriority w:val="0"/>
    <w:pPr>
      <w:spacing w:line="440" w:lineRule="exact"/>
      <w:ind w:firstLine="480" w:firstLineChars="200"/>
    </w:pPr>
  </w:style>
  <w:style w:type="character" w:customStyle="1" w:styleId="21">
    <w:name w:val="标题 4 Char1"/>
    <w:link w:val="5"/>
    <w:qFormat/>
    <w:uiPriority w:val="0"/>
    <w:rPr>
      <w:rFonts w:ascii="Times New Roman" w:hAnsi="Times New Roman" w:eastAsia="仿宋_GB2312" w:cs="仿宋_GB2312"/>
      <w:snapToGrid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27255</Words>
  <Characters>28475</Characters>
  <Lines>0</Lines>
  <Paragraphs>0</Paragraphs>
  <TotalTime>9</TotalTime>
  <ScaleCrop>false</ScaleCrop>
  <LinksUpToDate>false</LinksUpToDate>
  <CharactersWithSpaces>29315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2023-07-20T10:21:00Z</dcterms:created>
  <dc:creator>Administrator</dc:creator>
  <cp:lastModifiedBy>Administrator</cp:lastModifiedBy>
  <cp:lastPrinted>2023-09-18T11:51:00Z</cp:lastPrinted>
  <dcterms:modified xsi:type="dcterms:W3CDTF">2024-01-14T07:37:22Z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1A8CC55A3FDF48DB86158D506FA8C38F_13</vt:lpwstr>
  </property>
</Properties>
</file>