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eastAsia="黑体"/>
          <w:bCs/>
          <w:color w:val="auto"/>
          <w:sz w:val="32"/>
          <w:szCs w:val="32"/>
        </w:rPr>
      </w:pPr>
      <w:r>
        <w:rPr>
          <w:rFonts w:eastAsia="黑体"/>
          <w:bCs/>
          <w:color w:val="auto"/>
          <w:sz w:val="32"/>
          <w:szCs w:val="32"/>
        </w:rPr>
        <w:t>附件</w:t>
      </w:r>
    </w:p>
    <w:p>
      <w:pPr>
        <w:overflowPunct w:val="0"/>
        <w:spacing w:after="159" w:afterLines="50"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台儿庄区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退役军人事务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局2022年度普法责任清单</w:t>
      </w:r>
    </w:p>
    <w:tbl>
      <w:tblPr>
        <w:tblStyle w:val="7"/>
        <w:tblW w:w="13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8"/>
        <w:gridCol w:w="7188"/>
        <w:gridCol w:w="2075"/>
        <w:gridCol w:w="2250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7" w:hRule="atLeast"/>
          <w:tblHeader/>
          <w:jc w:val="center"/>
        </w:trPr>
        <w:tc>
          <w:tcPr>
            <w:tcW w:w="708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7188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普法内容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普法对象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责任单位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70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188" w:type="dxa"/>
            <w:noWrap w:val="0"/>
            <w:vAlign w:val="center"/>
          </w:tcPr>
          <w:p>
            <w:pPr>
              <w:overflowPunct w:val="0"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习近平法治思想、《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中华人民共和国退役军人保障法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、《中华人民共和国民法典》、《信访工作条例》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等其他法律法规规章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退役军人事务局全体人员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权益维护科</w:t>
            </w:r>
          </w:p>
          <w:p>
            <w:pPr>
              <w:overflowPunct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办公室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56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7188" w:type="dxa"/>
            <w:noWrap w:val="0"/>
            <w:vAlign w:val="center"/>
          </w:tcPr>
          <w:p>
            <w:pPr>
              <w:overflowPunct w:val="0"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《保密法》《政府信息公开条例》等相关法律法规规章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退役军人事务局全体人员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办公室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62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7188" w:type="dxa"/>
            <w:noWrap w:val="0"/>
            <w:vAlign w:val="center"/>
          </w:tcPr>
          <w:p>
            <w:pPr>
              <w:overflowPunct w:val="0"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《党政领导干部选拔任用工作条例》《公务员职务与职级并行规定》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等相关法律法规及有关文件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退役军人事务局全体人员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办公室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33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7188" w:type="dxa"/>
            <w:noWrap w:val="0"/>
            <w:vAlign w:val="center"/>
          </w:tcPr>
          <w:p>
            <w:pPr>
              <w:overflowPunct w:val="0"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《关于进一步加强新形势下值班工作的通知》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《党委（党组）网络安全工作责任制实施办法》、《台儿庄区党的干部双重组织生活制度实施细则（实行）》、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中共台儿庄区委党的建设工作领导小组2022年工作要点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》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</w:rPr>
              <w:t>等相关法律法规规章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退役军人事务局全体人员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办公室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overflowPunct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C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4"/>
        <w:lang w:val="zh-CN"/>
      </w:rPr>
    </w:pPr>
    <w:r>
      <w:rPr>
        <w:rFonts w:ascii="宋体" w:hAnsi="宋体"/>
        <w:sz w:val="24"/>
        <w:lang w:val="zh-CN"/>
      </w:rPr>
      <w:fldChar w:fldCharType="begin"/>
    </w:r>
    <w:r>
      <w:rPr>
        <w:rFonts w:ascii="宋体" w:hAnsi="宋体"/>
        <w:sz w:val="24"/>
        <w:lang w:val="zh-CN"/>
      </w:rPr>
      <w:instrText xml:space="preserve">PAGE   \* MERGEFORMAT</w:instrText>
    </w:r>
    <w:r>
      <w:rPr>
        <w:rFonts w:ascii="宋体" w:hAnsi="宋体"/>
        <w:sz w:val="24"/>
        <w:lang w:val="zh-CN"/>
      </w:rPr>
      <w:fldChar w:fldCharType="separate"/>
    </w:r>
    <w:r>
      <w:rPr>
        <w:rFonts w:ascii="宋体" w:hAnsi="宋体"/>
        <w:sz w:val="24"/>
        <w:lang w:val="zh-CN"/>
      </w:rPr>
      <w:t>- 9 -</w:t>
    </w:r>
    <w:r>
      <w:rPr>
        <w:rFonts w:ascii="宋体" w:hAnsi="宋体"/>
        <w:sz w:val="24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OWY3Y2M0NThjYzE5YjBhMGUwNGQxNTkzZGEwN2MifQ=="/>
  </w:docVars>
  <w:rsids>
    <w:rsidRoot w:val="00000000"/>
    <w:rsid w:val="2DF9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2250" w:leftChars="500" w:hanging="1200" w:hangingChars="500"/>
    </w:pPr>
    <w:rPr>
      <w:rFonts w:ascii="Arial" w:hAnsi="Arial"/>
      <w:sz w:val="24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2022-07-06T02:24:15Z</dcterms:created>
  <dc:creator>Administrator</dc:creator>
  <cp:lastModifiedBy>猫咪小姐</cp:lastModifiedBy>
  <dcterms:modified xsi:type="dcterms:W3CDTF">2022-07-06T02:25:49Z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CADA38543C9C4B61A2E9EF29E476FF5E</vt:lpwstr>
  </property>
</Properties>
</file>