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5907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40" w:beforeAutospacing="0" w:after="240" w:afterAutospacing="0" w:line="560" w:lineRule="exact"/>
        <w:ind w:left="0" w:right="0" w:firstLine="0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3924935</wp:posOffset>
            </wp:positionV>
            <wp:extent cx="5495290" cy="4121150"/>
            <wp:effectExtent l="0" t="0" r="10160" b="12700"/>
            <wp:wrapTopAndBottom/>
            <wp:docPr id="5" name="图片 5" descr="a9b2e86f74b0ab099008c5c5c50f7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b2e86f74b0ab099008c5c5c50f77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  <w:t>尚雅讲堂再开讲：从“教知识”到“育思维”——孙晋斌校长谈新课标下数学教师的专业突围</w:t>
      </w:r>
    </w:p>
    <w:p w14:paraId="5994570A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为深入落实2022版义务教育数学课程标准，推动课堂教学从知识本位向思维本位转型，2026年4月15日，枣庄市第三十九中学尚雅讲堂如期开讲。本次讲座由孙晋斌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工作室主持人孙晋斌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校长主讲，题为《从“教知识”到“育思维”——新课标背景下初中数学教师的专业突围》，全校数学教师及各学科骨干教师代表参加学习研讨。</w:t>
      </w:r>
    </w:p>
    <w:p w14:paraId="7B8A0F1B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孙校长开篇即抛出“时代三问”：AI能解压轴题，课堂价值何在？学生毕业后除了公式还留下什么？我们教的是“数学”还是“做题”？他指出，2026年中考命题已发生根本性转变，探究性、开放性、综合性试题占比超过60%，机械记忆类题目压缩至20%以内，从“知识立意”转向“素养立意”已成必然趋势。数学教师必须从“教知识”走向“育思维”，实现专业突围。</w:t>
      </w:r>
    </w:p>
    <w:p w14:paraId="6C14F5F4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ge">
              <wp:posOffset>2077720</wp:posOffset>
            </wp:positionV>
            <wp:extent cx="5514340" cy="4135755"/>
            <wp:effectExtent l="0" t="0" r="10160" b="17145"/>
            <wp:wrapTopAndBottom/>
            <wp:docPr id="1" name="图片 1" descr="d67fe6c43d178d9f2d2c9f6ab7b66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7fe6c43d178d9f2d2c9f6ab7b660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C4C03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C09495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29D423D0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567AAD7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围绕“何为思维”，孙校长深度解读新课标提出的“三会”目标——会用数学眼光观察世界、会用数学思维思考世界、会用数学语言表达世界，并剖析了“假思维”课堂的典型表现，强调真正的思维培养应包含抽象、推理、模型等层次。</w:t>
      </w:r>
    </w:p>
    <w:p w14:paraId="127E26E8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160020</wp:posOffset>
            </wp:positionV>
            <wp:extent cx="5495290" cy="4121150"/>
            <wp:effectExtent l="0" t="0" r="10160" b="12700"/>
            <wp:wrapTopAndBottom/>
            <wp:docPr id="3" name="图片 3" descr="7f63b7fa11471bc7c0da65a3aeb42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63b7fa11471bc7c0da65a3aeb42a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在“如何突围”环节，孙校长结合具体教学案例，系统阐述了教学目标、教学内容、教学方式、教学评价四大转型路径。他以《二次函数的图象与性质》为例，展示了基于布鲁姆分类法的分层目标设计；以《有理数的乘方》《数据的收集与整理》为例，呈现了从“法则记忆”到“原理探究”、从“按步骤操作”到“用数据决策”的思维进阶过程。他还重点分享了有效提问与追问、示错法、反思性作业、说理作业、表现性评价等实操策略，为教师提供了可复制、可落地的教学工具。</w:t>
      </w:r>
    </w:p>
    <w:p w14:paraId="0BAC2132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孙校长强调，教师是突围的主体，学科组、工作室、教师个体需形成专业成长合力。他鼓励教师以“小步迭代”的方式持续推进课堂变革，正视改革初期的“不适应期”，坚定信心，最终实现从“教书匠”到“引路人”的跃迁。</w:t>
      </w:r>
    </w:p>
    <w:p w14:paraId="383DD93C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讲座最后，孙校长以“教育不是注满一桶水，而是点燃一把火”作结，号召全体教师成为点燃学生思维之火的引路人。整场报告既有理论高度，又有实践深度，为我校数学教学改革指明了清晰方向，赢得了与会教师的热烈反响。</w:t>
      </w:r>
    </w:p>
    <w:p w14:paraId="759B26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984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F678B"/>
    <w:rsid w:val="1BEF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2026-04-24T01:43:00Z</dcterms:created>
  <dc:creator>刘影</dc:creator>
  <cp:lastModifiedBy>刘影</cp:lastModifiedBy>
  <dcterms:modified xsi:type="dcterms:W3CDTF">2026-04-24T01:53:26Z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A6B87AE5016848C3904883EF887571C8_11</vt:lpwstr>
  </property>
  <property fmtid="{D5CDD505-2E9C-101B-9397-08002B2CF9AE}" pid="4" name="KSOTemplateDocerSaveRecord">
    <vt:lpwstr>eyJoZGlkIjoiM2YxOTQxZjE2MmEzNWQwZTViMDVlNTFkNjdiNzQ1OTQiLCJ1c2VySWQiOiIzMDU1MDY5ODUifQ==</vt:lpwstr>
  </property>
</Properties>
</file>