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eastAsia="zh-CN"/>
        </w:rPr>
        <w:t>四</w:t>
      </w:r>
      <w:r>
        <w:rPr>
          <w:rFonts w:hint="eastAsia" w:ascii="方正小标宋简体" w:hAnsi="宋体" w:eastAsia="方正小标宋简体"/>
          <w:sz w:val="44"/>
          <w:szCs w:val="44"/>
        </w:rPr>
        <w:t>、责任追究机制</w:t>
      </w:r>
    </w:p>
    <w:p>
      <w:pPr>
        <w:spacing w:line="600" w:lineRule="exact"/>
        <w:rPr>
          <w:rFonts w:hint="eastAsia" w:ascii="Times New Roman" w:hAnsi="Times New Roman" w:eastAsia="仿宋_GB2312"/>
          <w:sz w:val="32"/>
          <w:szCs w:val="32"/>
        </w:rPr>
      </w:pPr>
      <w:r>
        <w:rPr>
          <w:rFonts w:hint="eastAsia" w:ascii="Times New Roman" w:hAnsi="Times New Roman" w:eastAsia="仿宋_GB2312"/>
          <w:sz w:val="32"/>
          <w:szCs w:val="32"/>
        </w:rPr>
        <w:t xml:space="preserve">    </w:t>
      </w:r>
    </w:p>
    <w:p>
      <w:pPr>
        <w:spacing w:line="600" w:lineRule="exact"/>
        <w:ind w:firstLine="632" w:firstLineChars="200"/>
        <w:rPr>
          <w:rFonts w:hint="eastAsia" w:ascii="Times New Roman" w:hAnsi="Times New Roman" w:eastAsia="仿宋_GB2312"/>
          <w:sz w:val="32"/>
          <w:szCs w:val="32"/>
        </w:rPr>
      </w:pPr>
      <w:r>
        <w:rPr>
          <w:rFonts w:hint="eastAsia" w:ascii="Times New Roman" w:hAnsi="Times New Roman" w:eastAsia="仿宋_GB2312"/>
          <w:sz w:val="32"/>
          <w:szCs w:val="32"/>
        </w:rPr>
        <w:t>为严格追究纳入责任清单实施范围的部门、单位及其工作人员不履行或者不正确履行职责的责任，</w:t>
      </w:r>
      <w:r>
        <w:rPr>
          <w:rFonts w:ascii="Times New Roman" w:hAnsi="Times New Roman" w:eastAsia="仿宋_GB2312"/>
          <w:sz w:val="32"/>
          <w:szCs w:val="32"/>
        </w:rPr>
        <w:t>根据有关法律法规</w:t>
      </w:r>
      <w:r>
        <w:rPr>
          <w:rFonts w:hint="eastAsia" w:ascii="Times New Roman" w:hAnsi="Times New Roman" w:eastAsia="仿宋_GB2312"/>
          <w:sz w:val="32"/>
          <w:szCs w:val="32"/>
        </w:rPr>
        <w:t>规章</w:t>
      </w:r>
      <w:r>
        <w:rPr>
          <w:rFonts w:ascii="Times New Roman" w:hAnsi="Times New Roman" w:eastAsia="仿宋_GB2312"/>
          <w:sz w:val="32"/>
          <w:szCs w:val="32"/>
        </w:rPr>
        <w:t>，</w:t>
      </w:r>
      <w:r>
        <w:rPr>
          <w:rFonts w:hint="eastAsia" w:ascii="Times New Roman" w:hAnsi="Times New Roman" w:eastAsia="仿宋_GB2312"/>
          <w:sz w:val="32"/>
          <w:szCs w:val="32"/>
        </w:rPr>
        <w:t>制定如下责任追究机制</w:t>
      </w:r>
      <w:r>
        <w:rPr>
          <w:rFonts w:ascii="Times New Roman" w:hAnsi="Times New Roman" w:eastAsia="仿宋_GB2312"/>
          <w:sz w:val="32"/>
          <w:szCs w:val="32"/>
        </w:rPr>
        <w:t>。</w:t>
      </w:r>
    </w:p>
    <w:p>
      <w:pPr>
        <w:spacing w:line="600" w:lineRule="exact"/>
        <w:ind w:firstLine="632" w:firstLineChars="200"/>
        <w:rPr>
          <w:rFonts w:hint="eastAsia" w:ascii="黑体" w:hAnsi="黑体" w:eastAsia="黑体"/>
          <w:sz w:val="32"/>
          <w:szCs w:val="32"/>
          <w:shd w:val="clear" w:color="auto" w:fill="FFFFFF"/>
        </w:rPr>
      </w:pPr>
      <w:r>
        <w:rPr>
          <w:rFonts w:hint="eastAsia" w:ascii="黑体" w:hAnsi="黑体" w:eastAsia="黑体"/>
          <w:sz w:val="32"/>
          <w:szCs w:val="32"/>
        </w:rPr>
        <w:t>一</w:t>
      </w:r>
      <w:r>
        <w:rPr>
          <w:rFonts w:hint="eastAsia" w:ascii="黑体" w:hAnsi="黑体" w:eastAsia="黑体"/>
          <w:sz w:val="32"/>
          <w:szCs w:val="32"/>
          <w:shd w:val="clear" w:color="auto" w:fill="FFFFFF"/>
        </w:rPr>
        <w:t>、直属事业单位</w:t>
      </w:r>
    </w:p>
    <w:p>
      <w:pPr>
        <w:spacing w:line="600" w:lineRule="exact"/>
        <w:ind w:firstLine="615"/>
        <w:rPr>
          <w:rFonts w:hint="eastAsia" w:ascii="Times New Roman" w:hAnsi="Times New Roman" w:eastAsia="仿宋_GB2312"/>
          <w:sz w:val="32"/>
          <w:szCs w:val="32"/>
        </w:rPr>
      </w:pPr>
      <w:r>
        <w:rPr>
          <w:rFonts w:hint="eastAsia" w:ascii="楷体_GB2312" w:hAnsi="Times New Roman" w:eastAsia="楷体_GB2312"/>
          <w:sz w:val="32"/>
          <w:szCs w:val="32"/>
        </w:rPr>
        <w:t>（一）职责分工。</w:t>
      </w:r>
      <w:r>
        <w:rPr>
          <w:rFonts w:hint="eastAsia" w:ascii="Times New Roman" w:hAnsi="Times New Roman" w:eastAsia="仿宋_GB2312"/>
          <w:sz w:val="32"/>
          <w:szCs w:val="32"/>
        </w:rPr>
        <w:t>直属事业单位依据《事业单位人事管理条例》、《事业单位工作人员处分暂行规定》、《山东省行政执法监督条例》等法律法规规章的规定，对违法违纪的本单位工作人员追究责任。</w:t>
      </w:r>
    </w:p>
    <w:p>
      <w:pPr>
        <w:spacing w:line="600" w:lineRule="exact"/>
        <w:ind w:firstLine="632" w:firstLineChars="200"/>
        <w:rPr>
          <w:rFonts w:hint="eastAsia" w:ascii="Times New Roman" w:hAnsi="Times New Roman" w:eastAsia="仿宋_GB2312"/>
          <w:sz w:val="32"/>
          <w:szCs w:val="32"/>
        </w:rPr>
      </w:pPr>
      <w:r>
        <w:rPr>
          <w:rFonts w:hint="eastAsia" w:ascii="楷体_GB2312" w:hAnsi="Times New Roman" w:eastAsia="楷体_GB2312"/>
          <w:sz w:val="32"/>
          <w:szCs w:val="32"/>
        </w:rPr>
        <w:t>（二）追责程序。</w:t>
      </w:r>
      <w:r>
        <w:rPr>
          <w:rFonts w:hint="eastAsia" w:ascii="Times New Roman" w:hAnsi="Times New Roman" w:eastAsia="仿宋_GB2312"/>
          <w:sz w:val="32"/>
          <w:szCs w:val="32"/>
        </w:rPr>
        <w:t>直属事业单位应当依职权或根据</w:t>
      </w:r>
      <w:r>
        <w:rPr>
          <w:rFonts w:ascii="Times New Roman" w:hAnsi="Times New Roman" w:eastAsia="仿宋_GB2312"/>
          <w:sz w:val="32"/>
          <w:szCs w:val="32"/>
        </w:rPr>
        <w:t>公民、法人和其他组织投诉、举报</w:t>
      </w:r>
      <w:r>
        <w:rPr>
          <w:rFonts w:hint="eastAsia" w:ascii="Times New Roman" w:hAnsi="Times New Roman" w:eastAsia="仿宋_GB2312"/>
          <w:sz w:val="32"/>
          <w:szCs w:val="32"/>
        </w:rPr>
        <w:t>的线索，按照干部人事管理权限，对本单位违法违纪的人员进行调查，</w:t>
      </w:r>
      <w:r>
        <w:rPr>
          <w:rFonts w:ascii="Times New Roman" w:hAnsi="Times New Roman" w:eastAsia="仿宋_GB2312"/>
          <w:color w:val="000000"/>
          <w:sz w:val="32"/>
          <w:szCs w:val="32"/>
          <w:shd w:val="clear" w:color="auto" w:fill="FFFFFF"/>
        </w:rPr>
        <w:t>根据</w:t>
      </w:r>
      <w:r>
        <w:rPr>
          <w:rFonts w:hint="eastAsia" w:ascii="Times New Roman" w:hAnsi="Times New Roman" w:eastAsia="仿宋_GB2312"/>
          <w:color w:val="000000"/>
          <w:sz w:val="32"/>
          <w:szCs w:val="32"/>
          <w:shd w:val="clear" w:color="auto" w:fill="FFFFFF"/>
        </w:rPr>
        <w:t>其</w:t>
      </w:r>
      <w:r>
        <w:rPr>
          <w:rFonts w:hint="eastAsia" w:ascii="Times New Roman" w:hAnsi="Times New Roman" w:eastAsia="仿宋_GB2312"/>
          <w:sz w:val="32"/>
          <w:szCs w:val="32"/>
        </w:rPr>
        <w:t>违法违纪</w:t>
      </w:r>
      <w:r>
        <w:rPr>
          <w:rFonts w:ascii="Times New Roman" w:hAnsi="Times New Roman" w:eastAsia="仿宋_GB2312"/>
          <w:color w:val="000000"/>
          <w:sz w:val="32"/>
          <w:szCs w:val="32"/>
          <w:shd w:val="clear" w:color="auto" w:fill="FFFFFF"/>
        </w:rPr>
        <w:t>情节</w:t>
      </w:r>
      <w:r>
        <w:rPr>
          <w:rFonts w:hint="eastAsia" w:ascii="Times New Roman" w:hAnsi="Times New Roman" w:eastAsia="仿宋_GB2312"/>
          <w:color w:val="000000"/>
          <w:sz w:val="32"/>
          <w:szCs w:val="32"/>
          <w:shd w:val="clear" w:color="auto" w:fill="FFFFFF"/>
        </w:rPr>
        <w:t>作出处理。</w:t>
      </w:r>
    </w:p>
    <w:p>
      <w:pPr>
        <w:spacing w:line="600" w:lineRule="exact"/>
        <w:ind w:firstLine="632" w:firstLineChars="200"/>
        <w:rPr>
          <w:rFonts w:hint="eastAsia" w:ascii="黑体" w:hAnsi="黑体" w:eastAsia="黑体"/>
          <w:sz w:val="32"/>
          <w:szCs w:val="32"/>
        </w:rPr>
      </w:pPr>
      <w:r>
        <w:rPr>
          <w:rFonts w:hint="eastAsia" w:ascii="黑体" w:hAnsi="黑体" w:eastAsia="黑体"/>
          <w:sz w:val="32"/>
          <w:szCs w:val="32"/>
          <w:lang w:eastAsia="zh-CN"/>
        </w:rPr>
        <w:t>二</w:t>
      </w:r>
      <w:r>
        <w:rPr>
          <w:rFonts w:hint="eastAsia" w:ascii="黑体" w:hAnsi="黑体" w:eastAsia="黑体"/>
          <w:sz w:val="32"/>
          <w:szCs w:val="32"/>
        </w:rPr>
        <w:t>、政府法制机构</w:t>
      </w:r>
    </w:p>
    <w:p>
      <w:pPr>
        <w:spacing w:line="600" w:lineRule="exact"/>
        <w:ind w:firstLine="615"/>
        <w:rPr>
          <w:rFonts w:hint="eastAsia" w:ascii="Times New Roman" w:hAnsi="Times New Roman" w:eastAsia="仿宋_GB2312"/>
          <w:sz w:val="32"/>
          <w:szCs w:val="32"/>
        </w:rPr>
      </w:pPr>
      <w:r>
        <w:rPr>
          <w:rFonts w:hint="eastAsia" w:ascii="楷体_GB2312" w:hAnsi="Times New Roman" w:eastAsia="楷体_GB2312"/>
          <w:sz w:val="32"/>
          <w:szCs w:val="32"/>
        </w:rPr>
        <w:t>（一）职责分工</w:t>
      </w:r>
      <w:r>
        <w:rPr>
          <w:rFonts w:hint="eastAsia" w:ascii="Times New Roman" w:hAnsi="Times New Roman" w:eastAsia="仿宋_GB2312"/>
          <w:sz w:val="32"/>
          <w:szCs w:val="32"/>
        </w:rPr>
        <w:t>。政府法制机构依据《山东省行政执法监督条例》、《山东省行政程序规定》等法律、法规、规章的规定，依照法定职责，负责本级人民政府行政执法监督的具体工作。</w:t>
      </w:r>
    </w:p>
    <w:p>
      <w:pPr>
        <w:spacing w:line="600" w:lineRule="exact"/>
        <w:ind w:firstLine="632" w:firstLineChars="200"/>
        <w:rPr>
          <w:rFonts w:hint="eastAsia" w:ascii="Times New Roman" w:hAnsi="Times New Roman" w:eastAsia="仿宋_GB2312"/>
          <w:sz w:val="32"/>
          <w:szCs w:val="32"/>
        </w:rPr>
      </w:pPr>
      <w:r>
        <w:rPr>
          <w:rFonts w:hint="eastAsia" w:ascii="楷体_GB2312" w:hAnsi="Times New Roman" w:eastAsia="楷体_GB2312"/>
          <w:sz w:val="32"/>
          <w:szCs w:val="32"/>
        </w:rPr>
        <w:t>（二）追责程序。</w:t>
      </w:r>
      <w:r>
        <w:rPr>
          <w:rFonts w:hint="eastAsia" w:ascii="Times New Roman" w:hAnsi="Times New Roman" w:eastAsia="仿宋_GB2312"/>
          <w:sz w:val="32"/>
          <w:szCs w:val="32"/>
        </w:rPr>
        <w:t>政府法制机构依职权或根据</w:t>
      </w:r>
      <w:r>
        <w:rPr>
          <w:rFonts w:ascii="Times New Roman" w:hAnsi="Times New Roman" w:eastAsia="仿宋_GB2312"/>
          <w:sz w:val="32"/>
          <w:szCs w:val="32"/>
        </w:rPr>
        <w:t>公民、法人和其他组织投诉、举报</w:t>
      </w:r>
      <w:r>
        <w:rPr>
          <w:rFonts w:hint="eastAsia" w:ascii="Times New Roman" w:hAnsi="Times New Roman" w:eastAsia="仿宋_GB2312"/>
          <w:sz w:val="32"/>
          <w:szCs w:val="32"/>
        </w:rPr>
        <w:t>的线索，</w:t>
      </w:r>
      <w:bookmarkStart w:id="0" w:name="_GoBack"/>
      <w:bookmarkEnd w:id="0"/>
      <w:r>
        <w:rPr>
          <w:rFonts w:hint="eastAsia" w:ascii="Times New Roman" w:hAnsi="Times New Roman" w:eastAsia="仿宋_GB2312"/>
          <w:sz w:val="32"/>
          <w:szCs w:val="32"/>
        </w:rPr>
        <w:t>对行政机关及其工作人员的</w:t>
      </w:r>
      <w:r>
        <w:rPr>
          <w:rFonts w:ascii="Times New Roman" w:hAnsi="Times New Roman" w:eastAsia="仿宋_GB2312"/>
          <w:sz w:val="32"/>
          <w:szCs w:val="32"/>
        </w:rPr>
        <w:t>行政执法行为</w:t>
      </w:r>
      <w:r>
        <w:rPr>
          <w:rFonts w:hint="eastAsia" w:ascii="Times New Roman" w:hAnsi="Times New Roman" w:eastAsia="仿宋_GB2312"/>
          <w:sz w:val="32"/>
          <w:szCs w:val="32"/>
        </w:rPr>
        <w:t>实施监督，</w:t>
      </w:r>
      <w:r>
        <w:rPr>
          <w:rFonts w:ascii="Times New Roman" w:hAnsi="Times New Roman" w:eastAsia="仿宋_GB2312"/>
          <w:sz w:val="32"/>
          <w:szCs w:val="32"/>
        </w:rPr>
        <w:t>根据</w:t>
      </w:r>
      <w:r>
        <w:rPr>
          <w:rFonts w:hint="eastAsia" w:ascii="Times New Roman" w:hAnsi="Times New Roman" w:eastAsia="仿宋_GB2312"/>
          <w:sz w:val="32"/>
          <w:szCs w:val="32"/>
        </w:rPr>
        <w:t>违法或不当</w:t>
      </w:r>
      <w:r>
        <w:rPr>
          <w:rFonts w:ascii="Times New Roman" w:hAnsi="Times New Roman" w:eastAsia="仿宋_GB2312"/>
          <w:sz w:val="32"/>
          <w:szCs w:val="32"/>
        </w:rPr>
        <w:t>行政执法行为的性质、程度等情况</w:t>
      </w:r>
      <w:r>
        <w:rPr>
          <w:rFonts w:hint="eastAsia" w:ascii="Times New Roman" w:hAnsi="Times New Roman" w:eastAsia="仿宋_GB2312"/>
          <w:sz w:val="32"/>
          <w:szCs w:val="32"/>
        </w:rPr>
        <w:t>，以同级政府名义向行政机关发出</w:t>
      </w:r>
      <w:r>
        <w:rPr>
          <w:rFonts w:ascii="Times New Roman" w:hAnsi="Times New Roman" w:eastAsia="仿宋_GB2312"/>
          <w:sz w:val="32"/>
          <w:szCs w:val="32"/>
        </w:rPr>
        <w:t>《行政执法监督决定书》</w:t>
      </w:r>
      <w:r>
        <w:rPr>
          <w:rFonts w:hint="eastAsia" w:ascii="Times New Roman" w:hAnsi="Times New Roman" w:eastAsia="仿宋_GB2312"/>
          <w:sz w:val="32"/>
          <w:szCs w:val="32"/>
        </w:rPr>
        <w:t>，</w:t>
      </w:r>
      <w:r>
        <w:rPr>
          <w:rFonts w:ascii="Times New Roman" w:hAnsi="Times New Roman" w:eastAsia="仿宋_GB2312"/>
          <w:sz w:val="32"/>
          <w:szCs w:val="32"/>
        </w:rPr>
        <w:t>责令限期履行</w:t>
      </w:r>
      <w:r>
        <w:rPr>
          <w:rFonts w:hint="eastAsia" w:ascii="Times New Roman" w:hAnsi="Times New Roman" w:eastAsia="仿宋_GB2312"/>
          <w:sz w:val="32"/>
          <w:szCs w:val="32"/>
        </w:rPr>
        <w:t>，</w:t>
      </w:r>
      <w:r>
        <w:rPr>
          <w:rFonts w:ascii="Times New Roman" w:hAnsi="Times New Roman" w:eastAsia="仿宋_GB2312"/>
          <w:sz w:val="32"/>
          <w:szCs w:val="32"/>
        </w:rPr>
        <w:t>责令补正或者改正</w:t>
      </w:r>
      <w:r>
        <w:rPr>
          <w:rFonts w:hint="eastAsia" w:ascii="Times New Roman" w:hAnsi="Times New Roman" w:eastAsia="仿宋_GB2312"/>
          <w:sz w:val="32"/>
          <w:szCs w:val="32"/>
        </w:rPr>
        <w:t>，</w:t>
      </w:r>
      <w:r>
        <w:rPr>
          <w:rFonts w:ascii="Times New Roman" w:hAnsi="Times New Roman" w:eastAsia="仿宋_GB2312"/>
          <w:sz w:val="32"/>
          <w:szCs w:val="32"/>
        </w:rPr>
        <w:t>撤销</w:t>
      </w:r>
      <w:r>
        <w:rPr>
          <w:rFonts w:hint="eastAsia" w:ascii="Times New Roman" w:hAnsi="Times New Roman" w:eastAsia="仿宋_GB2312"/>
          <w:sz w:val="32"/>
          <w:szCs w:val="32"/>
        </w:rPr>
        <w:t>，</w:t>
      </w:r>
      <w:r>
        <w:rPr>
          <w:rFonts w:ascii="Times New Roman" w:hAnsi="Times New Roman" w:eastAsia="仿宋_GB2312"/>
          <w:sz w:val="32"/>
          <w:szCs w:val="32"/>
        </w:rPr>
        <w:t>确认违法或者无效</w:t>
      </w:r>
      <w:r>
        <w:rPr>
          <w:rFonts w:hint="eastAsia" w:ascii="Times New Roman" w:hAnsi="Times New Roman" w:eastAsia="仿宋_GB2312"/>
          <w:sz w:val="32"/>
          <w:szCs w:val="32"/>
        </w:rPr>
        <w:t>；对负有责任的</w:t>
      </w:r>
      <w:r>
        <w:rPr>
          <w:rFonts w:ascii="Times New Roman" w:hAnsi="Times New Roman" w:eastAsia="仿宋_GB2312"/>
          <w:sz w:val="32"/>
          <w:szCs w:val="32"/>
        </w:rPr>
        <w:t>工作人员</w:t>
      </w:r>
      <w:r>
        <w:rPr>
          <w:rFonts w:hint="eastAsia" w:ascii="Times New Roman" w:hAnsi="Times New Roman" w:eastAsia="仿宋_GB2312"/>
          <w:sz w:val="32"/>
          <w:szCs w:val="32"/>
        </w:rPr>
        <w:t>暂扣或者吊销其行政执法证件。</w:t>
      </w:r>
    </w:p>
    <w:p>
      <w:pPr>
        <w:spacing w:line="600" w:lineRule="exact"/>
        <w:ind w:firstLine="615"/>
        <w:rPr>
          <w:rFonts w:hint="eastAsia" w:ascii="黑体" w:hAnsi="黑体" w:eastAsia="黑体"/>
          <w:sz w:val="32"/>
          <w:szCs w:val="32"/>
        </w:rPr>
      </w:pPr>
      <w:r>
        <w:rPr>
          <w:rFonts w:hint="eastAsia" w:ascii="黑体" w:hAnsi="黑体" w:eastAsia="黑体"/>
          <w:sz w:val="32"/>
          <w:szCs w:val="32"/>
          <w:lang w:eastAsia="zh-CN"/>
        </w:rPr>
        <w:t>三</w:t>
      </w:r>
      <w:r>
        <w:rPr>
          <w:rFonts w:hint="eastAsia" w:ascii="黑体" w:hAnsi="黑体" w:eastAsia="黑体"/>
          <w:sz w:val="32"/>
          <w:szCs w:val="32"/>
        </w:rPr>
        <w:t>、监察机关</w:t>
      </w:r>
    </w:p>
    <w:p>
      <w:pPr>
        <w:spacing w:line="600" w:lineRule="exact"/>
        <w:ind w:firstLine="615"/>
        <w:rPr>
          <w:rFonts w:hint="eastAsia" w:ascii="Times New Roman" w:hAnsi="Times New Roman" w:eastAsia="仿宋_GB2312" w:cs="Arial"/>
          <w:color w:val="000000"/>
          <w:sz w:val="32"/>
          <w:szCs w:val="32"/>
        </w:rPr>
      </w:pPr>
      <w:r>
        <w:rPr>
          <w:rFonts w:hint="eastAsia" w:ascii="楷体_GB2312" w:hAnsi="Times New Roman" w:eastAsia="楷体_GB2312"/>
          <w:sz w:val="32"/>
          <w:szCs w:val="32"/>
        </w:rPr>
        <w:t>（一）职责分工</w:t>
      </w:r>
      <w:r>
        <w:rPr>
          <w:rFonts w:hint="eastAsia" w:ascii="Times New Roman" w:hAnsi="Times New Roman" w:eastAsia="仿宋_GB2312"/>
          <w:sz w:val="32"/>
          <w:szCs w:val="32"/>
        </w:rPr>
        <w:t>。</w:t>
      </w:r>
      <w:r>
        <w:rPr>
          <w:rFonts w:hint="eastAsia" w:ascii="Times New Roman" w:hAnsi="Times New Roman" w:eastAsia="仿宋_GB2312" w:cs="Arial"/>
          <w:color w:val="000000"/>
          <w:sz w:val="32"/>
          <w:szCs w:val="32"/>
        </w:rPr>
        <w:t>监察机关依据《行政监察法》、《行政监察法实施条例》等</w:t>
      </w:r>
      <w:r>
        <w:rPr>
          <w:rFonts w:ascii="Times New Roman" w:hAnsi="Times New Roman" w:eastAsia="仿宋_GB2312" w:cs="Arial"/>
          <w:color w:val="000000"/>
          <w:sz w:val="32"/>
          <w:szCs w:val="32"/>
        </w:rPr>
        <w:t>法律、法规</w:t>
      </w:r>
      <w:r>
        <w:rPr>
          <w:rFonts w:hint="eastAsia" w:ascii="Times New Roman" w:hAnsi="Times New Roman" w:eastAsia="仿宋_GB2312" w:cs="Arial"/>
          <w:color w:val="000000"/>
          <w:sz w:val="32"/>
          <w:szCs w:val="32"/>
        </w:rPr>
        <w:t>、规章的规定，追究行政机关以及有关组织及其行政机关任命的其他人员的责任。</w:t>
      </w:r>
    </w:p>
    <w:p>
      <w:pPr>
        <w:spacing w:line="600" w:lineRule="exact"/>
        <w:ind w:firstLine="615"/>
        <w:rPr>
          <w:rFonts w:hint="eastAsia" w:ascii="Times New Roman" w:hAnsi="Times New Roman" w:eastAsia="仿宋_GB2312" w:cs="Arial"/>
          <w:color w:val="000000"/>
          <w:sz w:val="32"/>
          <w:szCs w:val="32"/>
        </w:rPr>
      </w:pPr>
      <w:r>
        <w:rPr>
          <w:rFonts w:hint="eastAsia" w:ascii="楷体_GB2312" w:hAnsi="Times New Roman" w:eastAsia="楷体_GB2312"/>
          <w:sz w:val="32"/>
          <w:szCs w:val="32"/>
        </w:rPr>
        <w:t>（二）追责程序。</w:t>
      </w:r>
      <w:r>
        <w:rPr>
          <w:rFonts w:hint="eastAsia" w:ascii="Times New Roman" w:hAnsi="Times New Roman" w:eastAsia="仿宋_GB2312" w:cs="Arial"/>
          <w:color w:val="000000"/>
          <w:sz w:val="32"/>
          <w:szCs w:val="32"/>
        </w:rPr>
        <w:t>监察机关根据本级政府或上级监察机关的部署以及公民、法人或者其他组织控告或者检举</w:t>
      </w:r>
      <w:r>
        <w:rPr>
          <w:rFonts w:hint="eastAsia" w:ascii="Times New Roman" w:hAnsi="Times New Roman" w:eastAsia="仿宋_GB2312"/>
          <w:sz w:val="32"/>
          <w:szCs w:val="32"/>
        </w:rPr>
        <w:t>的线索</w:t>
      </w:r>
      <w:r>
        <w:rPr>
          <w:rFonts w:hint="eastAsia" w:ascii="Times New Roman" w:hAnsi="Times New Roman" w:eastAsia="仿宋_GB2312" w:cs="Arial"/>
          <w:color w:val="000000"/>
          <w:sz w:val="32"/>
          <w:szCs w:val="32"/>
        </w:rPr>
        <w:t>，对涉嫌违反行政纪律的行为进行检查或调查，作出监察决定或者提出监察建议。对被监察的部门给予通报批评或责令改正；对负有直接责任的主管人员和其他直接责任人员给予行政处分或者建议作出相应组织处理，并没收、追缴或者责令退赔违反行政纪律取得的财物。</w:t>
      </w:r>
    </w:p>
    <w:p>
      <w:pPr>
        <w:spacing w:line="600" w:lineRule="exact"/>
        <w:ind w:firstLine="615"/>
        <w:rPr>
          <w:rFonts w:hint="eastAsia" w:ascii="黑体" w:hAnsi="黑体" w:eastAsia="黑体"/>
          <w:sz w:val="32"/>
          <w:szCs w:val="32"/>
        </w:rPr>
      </w:pPr>
      <w:r>
        <w:rPr>
          <w:rFonts w:hint="eastAsia" w:ascii="黑体" w:hAnsi="黑体" w:eastAsia="黑体"/>
          <w:sz w:val="32"/>
          <w:szCs w:val="32"/>
          <w:lang w:eastAsia="zh-CN"/>
        </w:rPr>
        <w:t>四</w:t>
      </w:r>
      <w:r>
        <w:rPr>
          <w:rFonts w:hint="eastAsia" w:ascii="黑体" w:hAnsi="黑体" w:eastAsia="黑体"/>
          <w:sz w:val="32"/>
          <w:szCs w:val="32"/>
        </w:rPr>
        <w:t>、人民检察院</w:t>
      </w:r>
    </w:p>
    <w:p>
      <w:pPr>
        <w:spacing w:line="600" w:lineRule="exact"/>
        <w:ind w:firstLine="615"/>
        <w:rPr>
          <w:rFonts w:hint="eastAsia" w:ascii="Times New Roman" w:hAnsi="Times New Roman" w:eastAsia="仿宋_GB2312"/>
          <w:sz w:val="32"/>
          <w:szCs w:val="32"/>
        </w:rPr>
      </w:pPr>
      <w:r>
        <w:rPr>
          <w:rFonts w:hint="eastAsia" w:ascii="楷体_GB2312" w:hAnsi="Times New Roman" w:eastAsia="楷体_GB2312"/>
          <w:sz w:val="32"/>
          <w:szCs w:val="32"/>
        </w:rPr>
        <w:t>（一）职责分工</w:t>
      </w:r>
      <w:r>
        <w:rPr>
          <w:rFonts w:hint="eastAsia" w:ascii="Times New Roman" w:hAnsi="Times New Roman" w:eastAsia="仿宋_GB2312"/>
          <w:sz w:val="32"/>
          <w:szCs w:val="32"/>
        </w:rPr>
        <w:t>。人民检察院依据《刑法》、《刑事诉讼法》、</w:t>
      </w:r>
      <w:r>
        <w:rPr>
          <w:rFonts w:ascii="宋体" w:hAnsi="宋体" w:eastAsia="仿宋_GB2312" w:cs="宋体"/>
          <w:kern w:val="0"/>
          <w:sz w:val="32"/>
          <w:szCs w:val="21"/>
        </w:rPr>
        <w:t>《人民检察院刑事诉讼规则（试行）》</w:t>
      </w:r>
      <w:r>
        <w:rPr>
          <w:rFonts w:hint="eastAsia" w:ascii="Times New Roman" w:hAnsi="Times New Roman" w:eastAsia="仿宋_GB2312"/>
          <w:sz w:val="32"/>
          <w:szCs w:val="32"/>
        </w:rPr>
        <w:t>等有关法律和司法解释的规定，追究国家工作人员</w:t>
      </w:r>
      <w:r>
        <w:rPr>
          <w:rFonts w:ascii="宋体" w:hAnsi="宋体" w:eastAsia="仿宋_GB2312" w:cs="宋体"/>
          <w:kern w:val="0"/>
          <w:sz w:val="32"/>
          <w:szCs w:val="21"/>
        </w:rPr>
        <w:t>贪污贿赂犯罪</w:t>
      </w:r>
      <w:r>
        <w:rPr>
          <w:rFonts w:hint="eastAsia" w:ascii="宋体" w:hAnsi="宋体" w:eastAsia="仿宋_GB2312" w:cs="宋体"/>
          <w:kern w:val="0"/>
          <w:sz w:val="32"/>
          <w:szCs w:val="21"/>
        </w:rPr>
        <w:t>、</w:t>
      </w:r>
      <w:r>
        <w:rPr>
          <w:rFonts w:ascii="宋体" w:hAnsi="宋体" w:eastAsia="仿宋_GB2312" w:cs="宋体"/>
          <w:kern w:val="0"/>
          <w:sz w:val="32"/>
          <w:szCs w:val="21"/>
        </w:rPr>
        <w:t>渎职犯罪、利用职权实施的非法拘禁、刑讯逼供、报复陷害、非法搜查的侵犯公民人身权利的犯罪以及侵犯公民民主权利的犯罪案件</w:t>
      </w:r>
      <w:r>
        <w:rPr>
          <w:rFonts w:hint="eastAsia" w:ascii="Times New Roman" w:hAnsi="Times New Roman" w:eastAsia="仿宋_GB2312"/>
          <w:sz w:val="32"/>
          <w:szCs w:val="32"/>
        </w:rPr>
        <w:t>的刑事责任。</w:t>
      </w:r>
    </w:p>
    <w:p>
      <w:pPr>
        <w:spacing w:line="600" w:lineRule="exact"/>
        <w:ind w:firstLine="615"/>
        <w:rPr>
          <w:rFonts w:hint="eastAsia" w:ascii="宋体" w:hAnsi="宋体" w:eastAsia="仿宋_GB2312" w:cs="宋体"/>
          <w:kern w:val="0"/>
          <w:sz w:val="32"/>
          <w:szCs w:val="21"/>
        </w:rPr>
      </w:pPr>
      <w:r>
        <w:rPr>
          <w:rFonts w:hint="eastAsia" w:ascii="楷体_GB2312" w:hAnsi="Times New Roman" w:eastAsia="楷体_GB2312"/>
          <w:sz w:val="32"/>
          <w:szCs w:val="32"/>
        </w:rPr>
        <w:t>（二）追责程序。</w:t>
      </w:r>
      <w:r>
        <w:rPr>
          <w:rFonts w:hint="eastAsia" w:ascii="Times New Roman" w:hAnsi="Times New Roman" w:eastAsia="仿宋_GB2312"/>
          <w:sz w:val="32"/>
          <w:szCs w:val="32"/>
        </w:rPr>
        <w:t>人民检察院在履行法律监督职责中发现涉嫌违法犯罪或接到举报的，应当依法立案、侦查，并根据侦查的结果，</w:t>
      </w:r>
      <w:r>
        <w:rPr>
          <w:rFonts w:hint="eastAsia" w:ascii="宋体" w:hAnsi="宋体" w:eastAsia="仿宋_GB2312" w:cs="宋体"/>
          <w:kern w:val="0"/>
          <w:sz w:val="32"/>
          <w:szCs w:val="21"/>
        </w:rPr>
        <w:t>决定</w:t>
      </w:r>
      <w:r>
        <w:rPr>
          <w:rFonts w:ascii="宋体" w:hAnsi="宋体" w:eastAsia="仿宋_GB2312" w:cs="宋体"/>
          <w:kern w:val="0"/>
          <w:sz w:val="32"/>
          <w:szCs w:val="21"/>
        </w:rPr>
        <w:t>移送起诉、不起诉或撤销案件。</w:t>
      </w:r>
    </w:p>
    <w:p>
      <w:pPr>
        <w:spacing w:line="600" w:lineRule="exact"/>
        <w:ind w:firstLine="615"/>
        <w:rPr>
          <w:rFonts w:hint="eastAsia" w:ascii="黑体" w:hAnsi="黑体" w:eastAsia="黑体"/>
          <w:sz w:val="32"/>
          <w:szCs w:val="32"/>
        </w:rPr>
      </w:pPr>
      <w:r>
        <w:rPr>
          <w:rFonts w:hint="eastAsia" w:ascii="黑体" w:hAnsi="黑体" w:eastAsia="黑体"/>
          <w:sz w:val="32"/>
          <w:szCs w:val="32"/>
          <w:lang w:eastAsia="zh-CN"/>
        </w:rPr>
        <w:t>五</w:t>
      </w:r>
      <w:r>
        <w:rPr>
          <w:rFonts w:hint="eastAsia" w:ascii="黑体" w:hAnsi="黑体" w:eastAsia="黑体"/>
          <w:sz w:val="32"/>
          <w:szCs w:val="32"/>
        </w:rPr>
        <w:t>、人民法院</w:t>
      </w:r>
    </w:p>
    <w:p>
      <w:pPr>
        <w:spacing w:line="600" w:lineRule="exact"/>
        <w:ind w:firstLine="615"/>
        <w:rPr>
          <w:rFonts w:hint="eastAsia" w:ascii="Times New Roman" w:hAnsi="Times New Roman" w:eastAsia="仿宋_GB2312"/>
          <w:sz w:val="32"/>
          <w:szCs w:val="32"/>
        </w:rPr>
      </w:pPr>
      <w:r>
        <w:rPr>
          <w:rFonts w:hint="eastAsia" w:ascii="楷体_GB2312" w:hAnsi="Times New Roman" w:eastAsia="楷体_GB2312"/>
          <w:sz w:val="32"/>
          <w:szCs w:val="32"/>
        </w:rPr>
        <w:t>（一）职责分工</w:t>
      </w:r>
      <w:r>
        <w:rPr>
          <w:rFonts w:hint="eastAsia" w:ascii="Times New Roman" w:hAnsi="Times New Roman" w:eastAsia="仿宋_GB2312"/>
          <w:sz w:val="32"/>
          <w:szCs w:val="32"/>
        </w:rPr>
        <w:t>。人民法院依据《行政诉讼法》等有关法律和司法解释的规定，履行审判行政诉讼案件的职责。</w:t>
      </w:r>
    </w:p>
    <w:p>
      <w:pPr>
        <w:spacing w:line="600" w:lineRule="exact"/>
        <w:ind w:firstLine="615"/>
        <w:rPr>
          <w:rFonts w:hint="eastAsia" w:ascii="Times New Roman" w:hAnsi="Times New Roman" w:eastAsia="仿宋_GB2312"/>
          <w:sz w:val="32"/>
          <w:szCs w:val="32"/>
        </w:rPr>
      </w:pPr>
      <w:r>
        <w:rPr>
          <w:rFonts w:hint="eastAsia" w:ascii="楷体_GB2312" w:hAnsi="Times New Roman" w:eastAsia="楷体_GB2312"/>
          <w:sz w:val="32"/>
          <w:szCs w:val="32"/>
        </w:rPr>
        <w:t>（二）追责程序。</w:t>
      </w:r>
      <w:r>
        <w:rPr>
          <w:rFonts w:hint="eastAsia" w:ascii="Times New Roman" w:hAnsi="Times New Roman" w:eastAsia="仿宋_GB2312"/>
          <w:sz w:val="32"/>
          <w:szCs w:val="32"/>
        </w:rPr>
        <w:t>人民法院依法审理行政诉讼案件，并就行政机关应当承担的责任作出相应判决。</w:t>
      </w:r>
    </w:p>
    <w:p>
      <w:pPr>
        <w:spacing w:line="600" w:lineRule="exact"/>
        <w:ind w:firstLine="630"/>
        <w:rPr>
          <w:rFonts w:hint="eastAsia" w:ascii="黑体" w:hAnsi="黑体" w:eastAsia="黑体"/>
          <w:color w:val="000000"/>
          <w:sz w:val="32"/>
          <w:szCs w:val="32"/>
          <w:shd w:val="clear" w:color="auto" w:fill="FFFFFF"/>
        </w:rPr>
      </w:pPr>
      <w:r>
        <w:rPr>
          <w:rFonts w:hint="eastAsia" w:ascii="黑体" w:hAnsi="黑体" w:eastAsia="黑体"/>
          <w:color w:val="000000"/>
          <w:sz w:val="32"/>
          <w:szCs w:val="32"/>
          <w:shd w:val="clear" w:color="auto" w:fill="FFFFFF"/>
          <w:lang w:eastAsia="zh-CN"/>
        </w:rPr>
        <w:t>六</w:t>
      </w:r>
      <w:r>
        <w:rPr>
          <w:rFonts w:hint="eastAsia" w:ascii="黑体" w:hAnsi="黑体" w:eastAsia="黑体"/>
          <w:color w:val="000000"/>
          <w:sz w:val="32"/>
          <w:szCs w:val="32"/>
          <w:shd w:val="clear" w:color="auto" w:fill="FFFFFF"/>
        </w:rPr>
        <w:t>、协调配合</w:t>
      </w:r>
      <w:r>
        <w:rPr>
          <w:rFonts w:hint="eastAsia" w:ascii="黑体" w:hAnsi="黑体" w:eastAsia="黑体"/>
          <w:color w:val="000000"/>
          <w:sz w:val="32"/>
          <w:szCs w:val="32"/>
          <w:shd w:val="clear" w:color="auto" w:fill="FFFFFF"/>
          <w:lang w:eastAsia="zh-CN"/>
        </w:rPr>
        <w:t>信息共享</w:t>
      </w:r>
      <w:r>
        <w:rPr>
          <w:rFonts w:hint="eastAsia" w:ascii="黑体" w:hAnsi="黑体" w:eastAsia="黑体"/>
          <w:color w:val="000000"/>
          <w:sz w:val="32"/>
          <w:szCs w:val="32"/>
          <w:shd w:val="clear" w:color="auto" w:fill="FFFFFF"/>
        </w:rPr>
        <w:t>机制</w:t>
      </w:r>
    </w:p>
    <w:p>
      <w:pPr>
        <w:spacing w:line="600" w:lineRule="exact"/>
        <w:ind w:firstLine="630"/>
        <w:rPr>
          <w:rFonts w:hint="eastAsia" w:ascii="Times New Roman" w:hAnsi="Times New Roman" w:eastAsia="仿宋_GB2312"/>
          <w:color w:val="000000"/>
          <w:sz w:val="32"/>
          <w:szCs w:val="32"/>
          <w:shd w:val="clear" w:color="auto" w:fill="FFFFFF"/>
        </w:rPr>
      </w:pPr>
      <w:r>
        <w:rPr>
          <w:rFonts w:hint="eastAsia" w:ascii="Times New Roman" w:hAnsi="Times New Roman" w:eastAsia="仿宋_GB2312"/>
          <w:sz w:val="32"/>
          <w:szCs w:val="32"/>
        </w:rPr>
        <w:t>建立协调配合机制。有关部门、单位在</w:t>
      </w:r>
      <w:r>
        <w:rPr>
          <w:rFonts w:hint="eastAsia" w:ascii="Times New Roman" w:hAnsi="Times New Roman" w:eastAsia="仿宋_GB2312"/>
          <w:color w:val="000000"/>
          <w:sz w:val="32"/>
          <w:szCs w:val="32"/>
          <w:shd w:val="clear" w:color="auto" w:fill="FFFFFF"/>
        </w:rPr>
        <w:t>查处违纪违法行为的过程中，发现工作人员涉嫌贪污贿赂、渎职侵权等违纪违法线索的，应当根据案件的性质，及时向监察机关或者人民检察院移送；</w:t>
      </w:r>
      <w:r>
        <w:rPr>
          <w:rFonts w:hint="eastAsia" w:ascii="Times New Roman" w:hAnsi="Times New Roman" w:eastAsia="仿宋_GB2312"/>
          <w:sz w:val="32"/>
          <w:szCs w:val="32"/>
        </w:rPr>
        <w:t>有关部门、单位</w:t>
      </w:r>
      <w:r>
        <w:rPr>
          <w:rFonts w:hint="eastAsia" w:ascii="Times New Roman" w:hAnsi="Times New Roman" w:eastAsia="仿宋_GB2312"/>
          <w:color w:val="000000"/>
          <w:sz w:val="32"/>
          <w:szCs w:val="32"/>
          <w:shd w:val="clear" w:color="auto" w:fill="FFFFFF"/>
        </w:rPr>
        <w:t>发现属于行政复议事项和行政诉讼、行政复议、行政赔偿、行政处罚等法律法规实施以及行政执法中带有普遍性问题的，应当移送政府法制机构处理；检察机关在行政执法检察监督过程中，发现相关行政机关及其工作人员存在违反行政纪律行为，拒不纠正且不构成犯罪的，应当移送监察机关处理；</w:t>
      </w:r>
      <w:r>
        <w:rPr>
          <w:rFonts w:ascii="Times New Roman" w:hAnsi="Times New Roman" w:eastAsia="仿宋_GB2312"/>
          <w:color w:val="000000"/>
          <w:sz w:val="32"/>
          <w:szCs w:val="32"/>
          <w:shd w:val="clear" w:color="auto" w:fill="FFFFFF"/>
        </w:rPr>
        <w:t>人民法院在审理行政案件中，认为行政机关的主管人员、直接责任人员违法违纪的，应当将有关材料移送监察机关、该行政机关或者其上一级行政机关</w:t>
      </w:r>
      <w:r>
        <w:rPr>
          <w:rFonts w:hint="eastAsia" w:ascii="Times New Roman" w:hAnsi="Times New Roman" w:eastAsia="仿宋_GB2312"/>
          <w:color w:val="000000"/>
          <w:sz w:val="32"/>
          <w:szCs w:val="32"/>
          <w:shd w:val="clear" w:color="auto" w:fill="FFFFFF"/>
        </w:rPr>
        <w:t>，</w:t>
      </w:r>
      <w:r>
        <w:rPr>
          <w:rFonts w:ascii="Times New Roman" w:hAnsi="Times New Roman" w:eastAsia="仿宋_GB2312"/>
          <w:color w:val="000000"/>
          <w:sz w:val="32"/>
          <w:szCs w:val="32"/>
          <w:shd w:val="clear" w:color="auto" w:fill="FFFFFF"/>
        </w:rPr>
        <w:t>认为有犯罪行为的，应当将有关材料移送公安、检察机关。</w:t>
      </w:r>
    </w:p>
    <w:p>
      <w:pPr>
        <w:spacing w:line="600" w:lineRule="exact"/>
        <w:ind w:firstLine="630"/>
        <w:rPr>
          <w:rFonts w:hint="eastAsia" w:ascii="Times New Roman" w:hAnsi="Times New Roman" w:eastAsia="仿宋_GB2312"/>
          <w:sz w:val="32"/>
          <w:szCs w:val="32"/>
        </w:rPr>
      </w:pPr>
      <w:r>
        <w:rPr>
          <w:rFonts w:hint="eastAsia" w:ascii="Times New Roman" w:hAnsi="Times New Roman" w:eastAsia="仿宋_GB2312"/>
          <w:color w:val="000000"/>
          <w:sz w:val="32"/>
          <w:szCs w:val="32"/>
          <w:shd w:val="clear" w:color="auto" w:fill="FFFFFF"/>
        </w:rPr>
        <w:t>建立</w:t>
      </w:r>
      <w:r>
        <w:rPr>
          <w:rFonts w:hint="eastAsia" w:ascii="Times New Roman" w:hAnsi="Times New Roman" w:eastAsia="仿宋_GB2312"/>
          <w:sz w:val="32"/>
          <w:szCs w:val="32"/>
        </w:rPr>
        <w:t>信息共享机制。充分利用已有电子政务网络和信息共享公共基础设施等资源，积极推进网上移送、网上受理、网上监督，提高衔接工作效率。</w:t>
      </w:r>
    </w:p>
    <w:p>
      <w:pPr>
        <w:rPr>
          <w:rFonts w:hint="eastAsia" w:ascii="仿宋_GB2312" w:hAnsi="Times New Roman" w:eastAsia="仿宋_GB2312"/>
          <w:sz w:val="32"/>
          <w:szCs w:val="32"/>
        </w:rPr>
      </w:pPr>
    </w:p>
    <w:p>
      <w:pPr>
        <w:rPr>
          <w:lang w:val="en-US"/>
        </w:rPr>
      </w:pPr>
    </w:p>
    <w:p>
      <w:pPr>
        <w:spacing w:line="600" w:lineRule="exact"/>
        <w:rPr>
          <w:rFonts w:ascii="仿宋_GB2312" w:hAnsi="宋体" w:eastAsia="仿宋_GB2312"/>
          <w:color w:val="FF0000"/>
          <w:szCs w:val="32"/>
        </w:rPr>
      </w:pPr>
    </w:p>
    <w:sectPr>
      <w:footerReference r:id="rId4" w:type="default"/>
      <w:footerReference r:id="rId5" w:type="even"/>
      <w:pgSz w:w="11906" w:h="16838"/>
      <w:pgMar w:top="2098" w:right="1474" w:bottom="1985" w:left="1588" w:header="851" w:footer="992" w:gutter="0"/>
      <w:pgNumType w:fmt="numberInDash" w:start="11"/>
      <w:cols w:space="72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 w:name="方正小标宋简体">
    <w:altName w:val="微软雅黑"/>
    <w:panose1 w:val="03000509000000000000"/>
    <w:charset w:val="86"/>
    <w:family w:val="auto"/>
    <w:pitch w:val="default"/>
    <w:sig w:usb0="00000001" w:usb1="080E0000" w:usb2="00000010" w:usb3="00000000" w:csb0="00040000" w:csb1="00000000"/>
  </w:font>
  <w:font w:name="仿宋_GB2312">
    <w:altName w:val="仿宋"/>
    <w:panose1 w:val="02010609030101010101"/>
    <w:charset w:val="86"/>
    <w:family w:val="auto"/>
    <w:pitch w:val="default"/>
    <w:sig w:usb0="00000001" w:usb1="080E0000" w:usb2="00000010" w:usb3="00000000" w:csb0="00040000" w:csb1="00000000"/>
  </w:font>
  <w:font w:name="楷体_GB2312">
    <w:altName w:val="楷体"/>
    <w:panose1 w:val="02010609030101010101"/>
    <w:charset w:val="86"/>
    <w:family w:val="auto"/>
    <w:pitch w:val="default"/>
    <w:sig w:usb0="00000001" w:usb1="080E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ind w:right="360"/>
      <w:jc w:val="center"/>
      <w:rPr>
        <w:rFonts w:ascii="宋体"/>
        <w:sz w:val="28"/>
        <w:szCs w:val="28"/>
      </w:rPr>
    </w:pPr>
    <w:r>
      <w:rPr>
        <w:rFonts w:ascii="Times New Roman" w:hAnsi="Times New Roman" w:eastAsia="宋体" w:cs="Times New Roman"/>
        <w:kern w:val="2"/>
        <w:sz w:val="28"/>
        <w:szCs w:val="18"/>
        <w:lang w:val="en-US" w:eastAsia="zh-CN" w:bidi="ar-SA"/>
      </w:rPr>
      <w:pict>
        <v:shape id="文本框 1" o:spid="_x0000_s1025" type="#_x0000_t202" style="position:absolute;left:0;margin-top:0.4pt;height:16.95pt;width:51.05pt;mso-position-horizontal:center;mso-position-horizontal-relative:margin;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w:txbxContent>
              <w:p>
                <w:pPr>
                  <w:pStyle w:val="2"/>
                  <w:rPr>
                    <w:rStyle w:val="6"/>
                    <w:rFonts w:hint="eastAsia" w:ascii="宋体" w:hAnsi="宋体" w:eastAsia="宋体" w:cs="宋体"/>
                    <w:sz w:val="28"/>
                    <w:szCs w:val="28"/>
                  </w:rPr>
                </w:pPr>
                <w:r>
                  <w:rPr>
                    <w:rStyle w:val="6"/>
                    <w:rFonts w:hint="eastAsia" w:ascii="宋体" w:hAnsi="宋体" w:eastAsia="宋体" w:cs="宋体"/>
                    <w:sz w:val="28"/>
                    <w:szCs w:val="28"/>
                  </w:rPr>
                  <w:fldChar w:fldCharType="begin"/>
                </w:r>
                <w:r>
                  <w:rPr>
                    <w:rStyle w:val="6"/>
                    <w:rFonts w:hint="eastAsia" w:ascii="宋体" w:hAnsi="宋体" w:eastAsia="宋体" w:cs="宋体"/>
                    <w:sz w:val="28"/>
                    <w:szCs w:val="28"/>
                  </w:rPr>
                  <w:instrText xml:space="preserve">PAGE  </w:instrText>
                </w:r>
                <w:r>
                  <w:rPr>
                    <w:rStyle w:val="6"/>
                    <w:rFonts w:hint="eastAsia" w:ascii="宋体" w:hAnsi="宋体" w:eastAsia="宋体" w:cs="宋体"/>
                    <w:sz w:val="28"/>
                    <w:szCs w:val="28"/>
                  </w:rPr>
                  <w:fldChar w:fldCharType="separate"/>
                </w:r>
                <w:r>
                  <w:rPr>
                    <w:rStyle w:val="6"/>
                    <w:rFonts w:hint="eastAsia" w:ascii="宋体" w:hAnsi="宋体" w:eastAsia="宋体" w:cs="宋体"/>
                    <w:sz w:val="28"/>
                    <w:szCs w:val="28"/>
                  </w:rPr>
                  <w:t>- 28 -</w:t>
                </w:r>
                <w:r>
                  <w:rPr>
                    <w:rStyle w:val="6"/>
                    <w:rFonts w:hint="eastAsia" w:ascii="宋体" w:hAnsi="宋体" w:eastAsia="宋体" w:cs="宋体"/>
                    <w:sz w:val="28"/>
                    <w:szCs w:val="28"/>
                  </w:rPr>
                  <w:fldChar w:fldCharType="end"/>
                </w:r>
              </w:p>
            </w:txbxContent>
          </v:textbox>
        </v:shape>
      </w:pic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2"/>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58"/>
  <w:drawingGridVerticalSpacing w:val="579"/>
  <w:displayHorizontalDrawingGridEvery w:val="0"/>
  <w:displayVerticalDrawingGridEvery w:val="1"/>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DC353A"/>
    <w:rsid w:val="00003BEB"/>
    <w:rsid w:val="00003CDF"/>
    <w:rsid w:val="0002491D"/>
    <w:rsid w:val="00034299"/>
    <w:rsid w:val="00042F3D"/>
    <w:rsid w:val="00052C7B"/>
    <w:rsid w:val="000623EC"/>
    <w:rsid w:val="00064FC4"/>
    <w:rsid w:val="000908CF"/>
    <w:rsid w:val="00093A22"/>
    <w:rsid w:val="000963BB"/>
    <w:rsid w:val="000B320A"/>
    <w:rsid w:val="000B67CD"/>
    <w:rsid w:val="000B7B3B"/>
    <w:rsid w:val="000E4D35"/>
    <w:rsid w:val="000E5452"/>
    <w:rsid w:val="000E6AF8"/>
    <w:rsid w:val="00123673"/>
    <w:rsid w:val="00131E06"/>
    <w:rsid w:val="00135751"/>
    <w:rsid w:val="00150A30"/>
    <w:rsid w:val="001864B2"/>
    <w:rsid w:val="00196C13"/>
    <w:rsid w:val="00196F88"/>
    <w:rsid w:val="0019741F"/>
    <w:rsid w:val="001A35C5"/>
    <w:rsid w:val="001B0FDF"/>
    <w:rsid w:val="001C6C04"/>
    <w:rsid w:val="001D443E"/>
    <w:rsid w:val="001E145E"/>
    <w:rsid w:val="001E3758"/>
    <w:rsid w:val="001F33E8"/>
    <w:rsid w:val="00214F65"/>
    <w:rsid w:val="002279FE"/>
    <w:rsid w:val="00242D76"/>
    <w:rsid w:val="00247B00"/>
    <w:rsid w:val="00271998"/>
    <w:rsid w:val="00274F01"/>
    <w:rsid w:val="00283834"/>
    <w:rsid w:val="00290E42"/>
    <w:rsid w:val="00295862"/>
    <w:rsid w:val="002B0F63"/>
    <w:rsid w:val="002B5018"/>
    <w:rsid w:val="002D3C39"/>
    <w:rsid w:val="002E72E0"/>
    <w:rsid w:val="002F101B"/>
    <w:rsid w:val="00302E66"/>
    <w:rsid w:val="00311DAA"/>
    <w:rsid w:val="003242E0"/>
    <w:rsid w:val="00336DD1"/>
    <w:rsid w:val="0034199E"/>
    <w:rsid w:val="003436A2"/>
    <w:rsid w:val="00347E81"/>
    <w:rsid w:val="0035605F"/>
    <w:rsid w:val="00366CA5"/>
    <w:rsid w:val="003768A4"/>
    <w:rsid w:val="00390C4C"/>
    <w:rsid w:val="003A4424"/>
    <w:rsid w:val="003E2612"/>
    <w:rsid w:val="003F3798"/>
    <w:rsid w:val="003F3A14"/>
    <w:rsid w:val="00406CCD"/>
    <w:rsid w:val="00413D40"/>
    <w:rsid w:val="00414195"/>
    <w:rsid w:val="00417AA0"/>
    <w:rsid w:val="00433E37"/>
    <w:rsid w:val="00461289"/>
    <w:rsid w:val="004A7C4F"/>
    <w:rsid w:val="004C1760"/>
    <w:rsid w:val="004C643D"/>
    <w:rsid w:val="004D220F"/>
    <w:rsid w:val="004D3DCE"/>
    <w:rsid w:val="004F07A5"/>
    <w:rsid w:val="00541F0A"/>
    <w:rsid w:val="0054332A"/>
    <w:rsid w:val="005579F6"/>
    <w:rsid w:val="00581678"/>
    <w:rsid w:val="005968EE"/>
    <w:rsid w:val="005A002B"/>
    <w:rsid w:val="005B2A3A"/>
    <w:rsid w:val="005B7DFC"/>
    <w:rsid w:val="005D3393"/>
    <w:rsid w:val="005D3AA5"/>
    <w:rsid w:val="005E0931"/>
    <w:rsid w:val="00600098"/>
    <w:rsid w:val="00604B6F"/>
    <w:rsid w:val="006476F7"/>
    <w:rsid w:val="00682A6B"/>
    <w:rsid w:val="0068526B"/>
    <w:rsid w:val="00687A82"/>
    <w:rsid w:val="006A31C1"/>
    <w:rsid w:val="006A6182"/>
    <w:rsid w:val="006D272B"/>
    <w:rsid w:val="007177E4"/>
    <w:rsid w:val="0072274A"/>
    <w:rsid w:val="00723B53"/>
    <w:rsid w:val="00723BAA"/>
    <w:rsid w:val="00737C53"/>
    <w:rsid w:val="00743FCE"/>
    <w:rsid w:val="00754A22"/>
    <w:rsid w:val="00754E9F"/>
    <w:rsid w:val="007558E6"/>
    <w:rsid w:val="00766EAA"/>
    <w:rsid w:val="00767F83"/>
    <w:rsid w:val="007767B2"/>
    <w:rsid w:val="007851A0"/>
    <w:rsid w:val="00792891"/>
    <w:rsid w:val="00796F2A"/>
    <w:rsid w:val="00797925"/>
    <w:rsid w:val="007A1BB6"/>
    <w:rsid w:val="007A41A7"/>
    <w:rsid w:val="007C3324"/>
    <w:rsid w:val="007C6498"/>
    <w:rsid w:val="007D1221"/>
    <w:rsid w:val="007D58AD"/>
    <w:rsid w:val="007E5777"/>
    <w:rsid w:val="007F404D"/>
    <w:rsid w:val="008068B2"/>
    <w:rsid w:val="0086375E"/>
    <w:rsid w:val="008740D1"/>
    <w:rsid w:val="00874F8E"/>
    <w:rsid w:val="008952CF"/>
    <w:rsid w:val="008A2746"/>
    <w:rsid w:val="008A7378"/>
    <w:rsid w:val="008B27ED"/>
    <w:rsid w:val="008D0876"/>
    <w:rsid w:val="008D140E"/>
    <w:rsid w:val="008D4999"/>
    <w:rsid w:val="00901DB0"/>
    <w:rsid w:val="00920423"/>
    <w:rsid w:val="00921987"/>
    <w:rsid w:val="00934A68"/>
    <w:rsid w:val="00945341"/>
    <w:rsid w:val="00965586"/>
    <w:rsid w:val="0098708B"/>
    <w:rsid w:val="009A5687"/>
    <w:rsid w:val="009C5C80"/>
    <w:rsid w:val="009D4FE7"/>
    <w:rsid w:val="009E1F3E"/>
    <w:rsid w:val="00A006CF"/>
    <w:rsid w:val="00A04E36"/>
    <w:rsid w:val="00A062AF"/>
    <w:rsid w:val="00A1394D"/>
    <w:rsid w:val="00A2587F"/>
    <w:rsid w:val="00A25D93"/>
    <w:rsid w:val="00A57AD6"/>
    <w:rsid w:val="00A81441"/>
    <w:rsid w:val="00A942B3"/>
    <w:rsid w:val="00A94EC8"/>
    <w:rsid w:val="00A96EEA"/>
    <w:rsid w:val="00AB4ABE"/>
    <w:rsid w:val="00AB61BD"/>
    <w:rsid w:val="00AC4AED"/>
    <w:rsid w:val="00AC65EB"/>
    <w:rsid w:val="00AF34D7"/>
    <w:rsid w:val="00AF53E2"/>
    <w:rsid w:val="00AF6011"/>
    <w:rsid w:val="00B10A90"/>
    <w:rsid w:val="00B12B26"/>
    <w:rsid w:val="00B130D1"/>
    <w:rsid w:val="00B211D8"/>
    <w:rsid w:val="00B27857"/>
    <w:rsid w:val="00B84492"/>
    <w:rsid w:val="00BA43EE"/>
    <w:rsid w:val="00BB2109"/>
    <w:rsid w:val="00BD15DA"/>
    <w:rsid w:val="00BD76B3"/>
    <w:rsid w:val="00C068B0"/>
    <w:rsid w:val="00C15337"/>
    <w:rsid w:val="00C30C40"/>
    <w:rsid w:val="00C374B6"/>
    <w:rsid w:val="00C571FF"/>
    <w:rsid w:val="00C61E80"/>
    <w:rsid w:val="00C66296"/>
    <w:rsid w:val="00C67517"/>
    <w:rsid w:val="00C80F7D"/>
    <w:rsid w:val="00C81EFC"/>
    <w:rsid w:val="00C834BB"/>
    <w:rsid w:val="00C85229"/>
    <w:rsid w:val="00C861D6"/>
    <w:rsid w:val="00C96EE9"/>
    <w:rsid w:val="00CA4953"/>
    <w:rsid w:val="00CC2B69"/>
    <w:rsid w:val="00CD6A7B"/>
    <w:rsid w:val="00D011FF"/>
    <w:rsid w:val="00D1447E"/>
    <w:rsid w:val="00D26EF4"/>
    <w:rsid w:val="00D3758C"/>
    <w:rsid w:val="00D42107"/>
    <w:rsid w:val="00D4735B"/>
    <w:rsid w:val="00D56B6B"/>
    <w:rsid w:val="00D64A59"/>
    <w:rsid w:val="00D673DD"/>
    <w:rsid w:val="00D754C9"/>
    <w:rsid w:val="00D818F2"/>
    <w:rsid w:val="00D93395"/>
    <w:rsid w:val="00DB2036"/>
    <w:rsid w:val="00DC2A09"/>
    <w:rsid w:val="00DC353A"/>
    <w:rsid w:val="00DC527F"/>
    <w:rsid w:val="00DC7935"/>
    <w:rsid w:val="00DD280E"/>
    <w:rsid w:val="00DD4630"/>
    <w:rsid w:val="00DE1FBF"/>
    <w:rsid w:val="00DF5F14"/>
    <w:rsid w:val="00E12657"/>
    <w:rsid w:val="00E60B3D"/>
    <w:rsid w:val="00E65387"/>
    <w:rsid w:val="00E82802"/>
    <w:rsid w:val="00ED713F"/>
    <w:rsid w:val="00F156ED"/>
    <w:rsid w:val="00F15745"/>
    <w:rsid w:val="00F23E25"/>
    <w:rsid w:val="00F2789D"/>
    <w:rsid w:val="00F34DBD"/>
    <w:rsid w:val="00F35187"/>
    <w:rsid w:val="00F44219"/>
    <w:rsid w:val="00F51254"/>
    <w:rsid w:val="00F85565"/>
    <w:rsid w:val="00F869B1"/>
    <w:rsid w:val="00FF526F"/>
    <w:rsid w:val="00FF687D"/>
    <w:rsid w:val="12753408"/>
    <w:rsid w:val="170D06E0"/>
    <w:rsid w:val="1AD31D10"/>
    <w:rsid w:val="203D2EE4"/>
    <w:rsid w:val="3A8A2E97"/>
    <w:rsid w:val="4ADA671D"/>
    <w:rsid w:val="5F164911"/>
    <w:rsid w:val="631E69AA"/>
    <w:rsid w:val="671962B5"/>
    <w:rsid w:val="698B29A0"/>
    <w:rsid w:val="6D202A56"/>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0" w:name="Normal Indent" w:locked="1"/>
    <w:lsdException w:uiPriority="0" w:name="footnote text" w:locked="1"/>
    <w:lsdException w:uiPriority="0" w:name="annotation text" w:locked="1"/>
    <w:lsdException w:unhideWhenUsed="0" w:uiPriority="99" w:semiHidden="0" w:name="header"/>
    <w:lsdException w:unhideWhenUsed="0" w:uiPriority="99" w:semiHidden="0" w:name="footer"/>
    <w:lsdException w:uiPriority="0" w:name="index heading" w:locked="1"/>
    <w:lsdException w:qFormat="1" w:uiPriority="35" w:name="caption" w:locked="1"/>
    <w:lsdException w:uiPriority="0" w:name="table of figures" w:locked="1"/>
    <w:lsdException w:uiPriority="0" w:name="envelope address" w:locked="1"/>
    <w:lsdException w:uiPriority="0" w:name="envelope return" w:locked="1"/>
    <w:lsdException w:uiPriority="0" w:name="footnote reference" w:locked="1"/>
    <w:lsdException w:uiPriority="0" w:name="annotation reference" w:locked="1"/>
    <w:lsdException w:unhideWhenUsed="0" w:uiPriority="99" w:semiHidden="0" w:name="line number" w:locked="1"/>
    <w:lsdException w:unhideWhenUsed="0" w:uiPriority="99" w:semiHidden="0" w:name="page number" w:locked="1"/>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10" w:semiHidden="0" w:name="Title" w:locked="1"/>
    <w:lsdException w:uiPriority="0" w:name="Closing" w:locked="1"/>
    <w:lsdException w:uiPriority="0" w:name="Signature" w:locked="1"/>
    <w:lsdException w:unhideWhenUsed="0" w:uiPriority="99" w:name="Default Paragraph Font"/>
    <w:lsdException w:uiPriority="0" w:name="Body Text" w:locked="1"/>
    <w:lsdException w:uiPriority="0" w:name="Body Text Indent" w:locked="1"/>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11" w:semiHidden="0" w:name="Subtitle" w:locked="1"/>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unhideWhenUsed="0" w:uiPriority="99" w:semiHidden="0" w:name="Hyperlink" w:locked="1"/>
    <w:lsdException w:uiPriority="0" w:name="FollowedHyperlink" w:locked="1"/>
    <w:lsdException w:qFormat="1" w:unhideWhenUsed="0" w:uiPriority="22" w:semiHidden="0" w:name="Strong" w:locked="1"/>
    <w:lsdException w:qFormat="1" w:unhideWhenUsed="0" w:uiPriority="20" w:semiHidden="0" w:name="Emphasis" w:locked="1"/>
    <w:lsdException w:uiPriority="0" w:name="Document Map" w:locked="1"/>
    <w:lsdException w:uiPriority="0" w:name="Plain Text" w:locked="1"/>
    <w:lsdException w:uiPriority="0" w:name="E-mail Signature" w:locked="1"/>
    <w:lsdException w:unhideWhenUsed="0" w:uiPriority="99" w:semiHidden="0" w:name="Normal (Web)"/>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semiHidden="0" w:name="Normal Table"/>
    <w:lsdException w:uiPriority="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uiPriority="0" w:name="Balloon Text" w:locked="1"/>
    <w:lsdException w:unhideWhenUsed="0" w:uiPriority="59" w:semiHidden="0" w:name="Table Grid" w:locked="1"/>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5">
    <w:name w:val="Default Paragraph Font"/>
    <w:semiHidden/>
    <w:uiPriority w:val="99"/>
  </w:style>
  <w:style w:type="table" w:default="1" w:styleId="9">
    <w:name w:val="Normal Table"/>
    <w:unhideWhenUsed/>
    <w:qFormat/>
    <w:uiPriority w:val="99"/>
    <w:tblPr>
      <w:tblStyle w:val="9"/>
      <w:tblLayout w:type="fixed"/>
      <w:tblCellMar>
        <w:top w:w="0" w:type="dxa"/>
        <w:left w:w="108" w:type="dxa"/>
        <w:bottom w:w="0" w:type="dxa"/>
        <w:right w:w="108" w:type="dxa"/>
      </w:tblCellMar>
    </w:tblPr>
    <w:tcPr>
      <w:textDirection w:val="lrTb"/>
    </w:tcPr>
  </w:style>
  <w:style w:type="paragraph" w:styleId="2">
    <w:name w:val="footer"/>
    <w:basedOn w:val="1"/>
    <w:link w:val="14"/>
    <w:uiPriority w:val="99"/>
    <w:pPr>
      <w:tabs>
        <w:tab w:val="center" w:pos="4153"/>
        <w:tab w:val="right" w:pos="8306"/>
      </w:tabs>
      <w:snapToGrid w:val="0"/>
      <w:jc w:val="left"/>
    </w:pPr>
    <w:rPr>
      <w:sz w:val="18"/>
      <w:szCs w:val="18"/>
    </w:rPr>
  </w:style>
  <w:style w:type="paragraph" w:styleId="3">
    <w:name w:val="header"/>
    <w:basedOn w:val="1"/>
    <w:link w:val="13"/>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99"/>
    <w:pPr>
      <w:widowControl/>
      <w:spacing w:before="100" w:beforeAutospacing="1" w:after="100" w:afterAutospacing="1"/>
      <w:jc w:val="left"/>
    </w:pPr>
    <w:rPr>
      <w:rFonts w:ascii="宋体" w:hAnsi="宋体" w:cs="宋体"/>
      <w:kern w:val="0"/>
    </w:rPr>
  </w:style>
  <w:style w:type="character" w:styleId="6">
    <w:name w:val="page number"/>
    <w:basedOn w:val="5"/>
    <w:locked/>
    <w:uiPriority w:val="99"/>
    <w:rPr>
      <w:rFonts w:cs="Times New Roman"/>
    </w:rPr>
  </w:style>
  <w:style w:type="character" w:styleId="7">
    <w:name w:val="line number"/>
    <w:basedOn w:val="5"/>
    <w:locked/>
    <w:uiPriority w:val="99"/>
    <w:rPr>
      <w:rFonts w:cs="Times New Roman"/>
    </w:rPr>
  </w:style>
  <w:style w:type="character" w:styleId="8">
    <w:name w:val="Hyperlink"/>
    <w:basedOn w:val="5"/>
    <w:locked/>
    <w:uiPriority w:val="99"/>
    <w:rPr>
      <w:rFonts w:cs="Times New Roman"/>
      <w:color w:val="0000FF"/>
      <w:u w:val="single"/>
    </w:rPr>
  </w:style>
  <w:style w:type="paragraph" w:customStyle="1" w:styleId="10">
    <w:name w:val="Char Char Char"/>
    <w:basedOn w:val="1"/>
    <w:uiPriority w:val="99"/>
    <w:pPr>
      <w:widowControl/>
      <w:spacing w:after="160" w:line="240" w:lineRule="exact"/>
      <w:jc w:val="left"/>
    </w:pPr>
    <w:rPr>
      <w:rFonts w:ascii="Calibri" w:hAnsi="Calibri"/>
      <w:szCs w:val="22"/>
    </w:rPr>
  </w:style>
  <w:style w:type="paragraph" w:customStyle="1" w:styleId="11">
    <w:name w:val="列出段落1"/>
    <w:basedOn w:val="1"/>
    <w:uiPriority w:val="99"/>
    <w:pPr>
      <w:ind w:firstLine="420" w:firstLineChars="200"/>
    </w:pPr>
    <w:rPr>
      <w:rFonts w:ascii="Calibri" w:hAnsi="Calibri"/>
      <w:szCs w:val="22"/>
    </w:rPr>
  </w:style>
  <w:style w:type="paragraph" w:customStyle="1" w:styleId="12">
    <w:name w:val="Char"/>
    <w:basedOn w:val="1"/>
    <w:uiPriority w:val="99"/>
    <w:pPr>
      <w:widowControl/>
      <w:spacing w:beforeLines="100" w:after="160" w:line="240" w:lineRule="exact"/>
      <w:jc w:val="left"/>
    </w:pPr>
    <w:rPr>
      <w:rFonts w:ascii="Verdana" w:hAnsi="Verdana"/>
      <w:kern w:val="0"/>
      <w:sz w:val="20"/>
      <w:szCs w:val="20"/>
      <w:lang w:eastAsia="en-US"/>
    </w:rPr>
  </w:style>
  <w:style w:type="character" w:customStyle="1" w:styleId="13">
    <w:name w:val="Header Char"/>
    <w:basedOn w:val="5"/>
    <w:link w:val="3"/>
    <w:locked/>
    <w:uiPriority w:val="99"/>
    <w:rPr>
      <w:rFonts w:cs="Times New Roman"/>
      <w:kern w:val="2"/>
      <w:sz w:val="18"/>
    </w:rPr>
  </w:style>
  <w:style w:type="character" w:customStyle="1" w:styleId="14">
    <w:name w:val="Footer Char"/>
    <w:basedOn w:val="5"/>
    <w:link w:val="2"/>
    <w:locked/>
    <w:uiPriority w:val="99"/>
    <w:rPr>
      <w:rFonts w:cs="Times New Roman"/>
      <w:kern w:val="2"/>
      <w:sz w:val="18"/>
    </w:rPr>
  </w:style>
</w:styles>
</file>

<file path=word/_rels/document.xml.rels><?xml version="1.0" encoding="UTF-8" standalone="yes"?>
<Relationships xmlns="http://schemas.openxmlformats.org/package/2006/relationships"><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31</Pages>
  <Words>1756</Words>
  <Characters>10015</Characters>
  <Lines>0</Lines>
  <Paragraphs>0</Paragraphs>
  <ScaleCrop>false</ScaleCrop>
  <LinksUpToDate>false</LinksUpToDate>
  <CharactersWithSpaces>0</CharactersWithSpaces>
  <Application>WPS Office_9.1.0.5108_{F1E327BC-269C-435d-A152-05C5408002CA}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2015-06-19T06:54:00Z</dcterms:created>
  <dc:creator>微软用户</dc:creator>
  <cp:lastModifiedBy>Administrator</cp:lastModifiedBy>
  <cp:lastPrinted>2015-06-23T01:42:00Z</cp:lastPrinted>
  <dcterms:modified xsi:type="dcterms:W3CDTF">2015-07-07T08:22:48Z</dcterms:modified>
  <dc:title>内河水上交通安全监管制度</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2052-9.1.0.5108</vt:lpwstr>
  </property>
</Properties>
</file>