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numPr>
          <w:numId w:val="0"/>
        </w:numPr>
        <w:wordWrap/>
        <w:adjustRightInd w:val="0"/>
        <w:snapToGrid w:val="0"/>
        <w:spacing w:line="600" w:lineRule="exact"/>
        <w:ind w:right="0"/>
        <w:jc w:val="center"/>
        <w:textAlignment w:val="auto"/>
        <w:outlineLvl w:val="9"/>
        <w:rPr>
          <w:rFonts w:hint="eastAsia" w:ascii="方正小标宋简体" w:hAnsi="宋体" w:eastAsia="方正小标宋简体"/>
          <w:kern w:val="2"/>
          <w:sz w:val="44"/>
          <w:szCs w:val="44"/>
        </w:rPr>
      </w:pPr>
      <w:r>
        <w:rPr>
          <w:rFonts w:hint="eastAsia" w:ascii="方正小标宋简体" w:hAnsi="宋体" w:eastAsia="方正小标宋简体"/>
          <w:kern w:val="2"/>
          <w:sz w:val="44"/>
          <w:szCs w:val="44"/>
          <w:lang w:eastAsia="zh-CN"/>
        </w:rPr>
        <w:t>三、</w:t>
      </w:r>
      <w:r>
        <w:rPr>
          <w:rFonts w:hint="eastAsia" w:ascii="方正小标宋简体" w:hAnsi="宋体" w:eastAsia="方正小标宋简体"/>
          <w:kern w:val="2"/>
          <w:sz w:val="44"/>
          <w:szCs w:val="44"/>
        </w:rPr>
        <w:t>事中事后监管制度</w:t>
      </w:r>
    </w:p>
    <w:p>
      <w:pPr>
        <w:pStyle w:val="13"/>
        <w:widowControl/>
        <w:numPr>
          <w:numId w:val="0"/>
        </w:numPr>
        <w:wordWrap/>
        <w:adjustRightInd w:val="0"/>
        <w:snapToGrid w:val="0"/>
        <w:spacing w:before="0" w:after="0" w:line="600" w:lineRule="exact"/>
        <w:ind w:right="0"/>
        <w:jc w:val="both"/>
        <w:textAlignment w:val="auto"/>
        <w:outlineLvl w:val="9"/>
        <w:rPr>
          <w:rFonts w:hint="eastAsia" w:ascii="方正小标宋简体" w:eastAsia="方正小标宋简体"/>
          <w:kern w:val="2"/>
          <w:sz w:val="32"/>
          <w:szCs w:val="32"/>
          <w:lang w:val="en-US" w:eastAsia="zh-CN"/>
        </w:rPr>
      </w:pPr>
    </w:p>
    <w:p>
      <w:pPr>
        <w:pStyle w:val="13"/>
        <w:widowControl/>
        <w:numPr>
          <w:numId w:val="0"/>
        </w:numPr>
        <w:wordWrap/>
        <w:adjustRightInd w:val="0"/>
        <w:snapToGrid w:val="0"/>
        <w:spacing w:before="0" w:after="0" w:line="600" w:lineRule="exact"/>
        <w:ind w:right="0"/>
        <w:jc w:val="center"/>
        <w:textAlignment w:val="auto"/>
        <w:outlineLvl w:val="9"/>
        <w:rPr>
          <w:rFonts w:hint="eastAsia" w:ascii="方正小标宋简体" w:eastAsia="方正小标宋简体"/>
          <w:kern w:val="2"/>
          <w:sz w:val="32"/>
          <w:szCs w:val="32"/>
          <w:lang w:val="en-US" w:eastAsia="zh-CN"/>
        </w:rPr>
      </w:pPr>
      <w:r>
        <w:rPr>
          <w:rFonts w:hint="eastAsia" w:ascii="方正小标宋简体" w:eastAsia="方正小标宋简体"/>
          <w:kern w:val="2"/>
          <w:sz w:val="32"/>
          <w:szCs w:val="32"/>
          <w:lang w:val="en-US" w:eastAsia="zh-CN"/>
        </w:rPr>
        <w:t>（一）渡口渡运安全的事中事后监管</w:t>
      </w:r>
    </w:p>
    <w:p>
      <w:pPr>
        <w:pStyle w:val="13"/>
        <w:widowControl/>
        <w:numPr>
          <w:numId w:val="0"/>
        </w:numPr>
        <w:wordWrap/>
        <w:adjustRightInd w:val="0"/>
        <w:snapToGrid w:val="0"/>
        <w:spacing w:before="0" w:after="0" w:line="600" w:lineRule="exact"/>
        <w:ind w:leftChars="200" w:right="0"/>
        <w:jc w:val="both"/>
        <w:textAlignment w:val="auto"/>
        <w:outlineLvl w:val="9"/>
        <w:rPr>
          <w:rFonts w:hint="eastAsia" w:ascii="方正小标宋简体" w:eastAsia="方正小标宋简体"/>
          <w:kern w:val="2"/>
          <w:sz w:val="32"/>
          <w:szCs w:val="32"/>
          <w:lang w:val="en-US" w:eastAsia="zh-CN"/>
        </w:rPr>
      </w:pPr>
    </w:p>
    <w:p>
      <w:pPr>
        <w:pStyle w:val="13"/>
        <w:widowControl/>
        <w:wordWrap/>
        <w:adjustRightInd w:val="0"/>
        <w:snapToGrid w:val="0"/>
        <w:spacing w:before="0" w:after="0" w:line="600" w:lineRule="exact"/>
        <w:ind w:left="0" w:leftChars="0" w:right="0" w:firstLine="640" w:firstLineChars="200"/>
        <w:textAlignment w:val="auto"/>
        <w:outlineLvl w:val="9"/>
        <w:rPr>
          <w:rFonts w:hint="eastAsia" w:ascii="仿宋_GB2312" w:eastAsia="仿宋_GB2312"/>
          <w:kern w:val="0"/>
          <w:sz w:val="32"/>
          <w:szCs w:val="32"/>
        </w:rPr>
      </w:pPr>
      <w:r>
        <w:rPr>
          <w:rFonts w:hint="eastAsia" w:ascii="仿宋_GB2312" w:eastAsia="仿宋_GB2312"/>
          <w:kern w:val="0"/>
          <w:sz w:val="32"/>
          <w:szCs w:val="32"/>
        </w:rPr>
        <w:t>为进一步落实道</w:t>
      </w:r>
      <w:r>
        <w:rPr>
          <w:rFonts w:hint="eastAsia" w:ascii="仿宋" w:hAnsi="仿宋" w:eastAsia="仿宋" w:cs="仿宋"/>
          <w:b w:val="0"/>
          <w:bCs/>
          <w:kern w:val="0"/>
          <w:sz w:val="32"/>
          <w:szCs w:val="32"/>
          <w:lang w:eastAsia="zh-CN"/>
        </w:rPr>
        <w:t>渡口渡运</w:t>
      </w:r>
      <w:r>
        <w:rPr>
          <w:rFonts w:hint="eastAsia" w:ascii="仿宋_GB2312" w:eastAsia="仿宋_GB2312"/>
          <w:kern w:val="0"/>
          <w:sz w:val="32"/>
          <w:szCs w:val="32"/>
        </w:rPr>
        <w:t>安全监管责任</w:t>
      </w:r>
      <w:r>
        <w:rPr>
          <w:rFonts w:hint="eastAsia" w:ascii="仿宋_GB2312" w:eastAsia="仿宋_GB2312"/>
          <w:kern w:val="2"/>
          <w:sz w:val="32"/>
          <w:szCs w:val="32"/>
        </w:rPr>
        <w:t>，认</w:t>
      </w:r>
      <w:r>
        <w:rPr>
          <w:rFonts w:hint="eastAsia" w:ascii="仿宋_GB2312" w:eastAsia="仿宋_GB2312"/>
          <w:kern w:val="0"/>
          <w:sz w:val="32"/>
          <w:szCs w:val="32"/>
        </w:rPr>
        <w:t>真履行安全监督管理职责，加强行业安全管理，特制定如下监管制度：</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黑体"/>
          <w:kern w:val="2"/>
          <w:sz w:val="32"/>
          <w:szCs w:val="32"/>
        </w:rPr>
        <w:t>一、监督检查对象</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 w:hAnsi="仿宋" w:eastAsia="仿宋" w:cs="仿宋"/>
          <w:b w:val="0"/>
          <w:bCs/>
          <w:kern w:val="2"/>
          <w:sz w:val="32"/>
          <w:szCs w:val="32"/>
          <w:lang w:eastAsia="zh-CN"/>
        </w:rPr>
        <w:t>渡口渡运</w:t>
      </w:r>
      <w:r>
        <w:rPr>
          <w:rFonts w:hint="eastAsia" w:ascii="仿宋_GB2312" w:eastAsia="仿宋_GB2312"/>
          <w:kern w:val="2"/>
          <w:sz w:val="32"/>
          <w:szCs w:val="32"/>
        </w:rPr>
        <w:t>相关业务经营企业。</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黑体"/>
          <w:kern w:val="2"/>
          <w:sz w:val="32"/>
          <w:szCs w:val="32"/>
        </w:rPr>
        <w:t>二、监督检查内容</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仿宋_GB2312"/>
          <w:kern w:val="2"/>
          <w:sz w:val="32"/>
          <w:szCs w:val="32"/>
        </w:rPr>
        <w:t>（一）安全生产责任制、安全生产管理规章制度建立情况；</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仿宋_GB2312"/>
          <w:kern w:val="2"/>
          <w:sz w:val="32"/>
          <w:szCs w:val="32"/>
        </w:rPr>
        <w:t>（二）执行法律、法规、政策及规章制度、技术规范等情况；</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仿宋_GB2312"/>
          <w:kern w:val="2"/>
          <w:sz w:val="32"/>
          <w:szCs w:val="32"/>
        </w:rPr>
        <w:t>（三）执行各级</w:t>
      </w:r>
      <w:r>
        <w:rPr>
          <w:rFonts w:hint="eastAsia" w:ascii="仿宋_GB2312" w:eastAsia="仿宋_GB2312"/>
          <w:kern w:val="2"/>
          <w:sz w:val="32"/>
          <w:szCs w:val="32"/>
          <w:lang w:eastAsia="zh-CN"/>
        </w:rPr>
        <w:t>港航、海事</w:t>
      </w:r>
      <w:r>
        <w:rPr>
          <w:rFonts w:hint="eastAsia" w:ascii="仿宋_GB2312" w:eastAsia="仿宋_GB2312"/>
          <w:kern w:val="2"/>
          <w:sz w:val="32"/>
          <w:szCs w:val="32"/>
        </w:rPr>
        <w:t>行政及行业管理部门下达的各项安全管理工作任务情况；</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仿宋_GB2312"/>
          <w:kern w:val="2"/>
          <w:sz w:val="32"/>
          <w:szCs w:val="32"/>
        </w:rPr>
        <w:t>（四）安全生产管理机构及人员配备、安全管理经费和装备情况；</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仿宋_GB2312"/>
          <w:kern w:val="2"/>
          <w:sz w:val="32"/>
          <w:szCs w:val="32"/>
        </w:rPr>
        <w:t>（五）安全生产中存在的重大问题和隐患的整改落实情况；</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仿宋_GB2312"/>
          <w:kern w:val="2"/>
          <w:sz w:val="32"/>
          <w:szCs w:val="32"/>
        </w:rPr>
        <w:t>（六）</w:t>
      </w:r>
      <w:r>
        <w:rPr>
          <w:rFonts w:hint="eastAsia" w:ascii="仿宋_GB2312" w:eastAsia="仿宋_GB2312"/>
          <w:kern w:val="2"/>
          <w:sz w:val="32"/>
          <w:szCs w:val="32"/>
          <w:lang w:eastAsia="zh-CN"/>
        </w:rPr>
        <w:t>渡船隐患及</w:t>
      </w:r>
      <w:r>
        <w:rPr>
          <w:rFonts w:hint="eastAsia" w:ascii="仿宋_GB2312" w:eastAsia="仿宋_GB2312"/>
          <w:kern w:val="2"/>
          <w:sz w:val="32"/>
          <w:szCs w:val="32"/>
        </w:rPr>
        <w:t>事故调查、处理及责任追究情况；</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仿宋_GB2312"/>
          <w:kern w:val="2"/>
          <w:sz w:val="32"/>
          <w:szCs w:val="32"/>
        </w:rPr>
        <w:t>（七）</w:t>
      </w:r>
      <w:r>
        <w:rPr>
          <w:rFonts w:hint="eastAsia" w:ascii="仿宋_GB2312" w:eastAsia="仿宋_GB2312"/>
          <w:kern w:val="2"/>
          <w:sz w:val="32"/>
          <w:szCs w:val="32"/>
          <w:lang w:eastAsia="zh-CN"/>
        </w:rPr>
        <w:t>水上</w:t>
      </w:r>
      <w:r>
        <w:rPr>
          <w:rFonts w:hint="eastAsia" w:ascii="仿宋_GB2312" w:eastAsia="仿宋_GB2312"/>
          <w:kern w:val="2"/>
          <w:sz w:val="32"/>
          <w:szCs w:val="32"/>
        </w:rPr>
        <w:t>突发事件应急预案的制定和演练落实情况；</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仿宋_GB2312"/>
          <w:kern w:val="2"/>
          <w:sz w:val="32"/>
          <w:szCs w:val="32"/>
        </w:rPr>
        <w:t>（八）其他安全生产监督事项。</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黑体"/>
          <w:kern w:val="2"/>
          <w:sz w:val="32"/>
          <w:szCs w:val="32"/>
        </w:rPr>
        <w:t>三、监督检查方式</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仿宋_GB2312"/>
          <w:kern w:val="2"/>
          <w:sz w:val="32"/>
          <w:szCs w:val="32"/>
        </w:rPr>
        <w:t>综合检查、专项检查、巡视检查。</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黑体"/>
          <w:kern w:val="2"/>
          <w:sz w:val="32"/>
          <w:szCs w:val="32"/>
        </w:rPr>
        <w:t>四、监督检查措施</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仿宋_GB2312"/>
          <w:kern w:val="2"/>
          <w:sz w:val="32"/>
          <w:szCs w:val="32"/>
        </w:rPr>
        <w:t>明查与暗访相结合、定期与不定期相结合、源头管理与现场巡查相结合。</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黑体"/>
          <w:kern w:val="2"/>
          <w:sz w:val="32"/>
          <w:szCs w:val="32"/>
        </w:rPr>
        <w:t>五、监督检查程序</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仿宋_GB2312"/>
          <w:kern w:val="2"/>
          <w:sz w:val="32"/>
          <w:szCs w:val="32"/>
        </w:rPr>
        <w:t>（一）明查时提前通知企业检查内容及检查人员情况。</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仿宋_GB2312"/>
          <w:kern w:val="2"/>
          <w:sz w:val="32"/>
          <w:szCs w:val="32"/>
        </w:rPr>
        <w:t>（二）暗查时不通知企业，暗查人员根据暗查内容进行暗查。</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eastAsia="黑体"/>
          <w:kern w:val="2"/>
          <w:sz w:val="32"/>
          <w:szCs w:val="32"/>
        </w:rPr>
        <w:t>六、监督检查处理</w:t>
      </w:r>
    </w:p>
    <w:p>
      <w:pPr>
        <w:pStyle w:val="13"/>
        <w:wordWrap/>
        <w:adjustRightInd w:val="0"/>
        <w:snapToGrid w:val="0"/>
        <w:spacing w:before="0" w:after="0" w:line="600" w:lineRule="exact"/>
        <w:ind w:right="0" w:firstLine="591" w:firstLineChars="200"/>
        <w:textAlignment w:val="auto"/>
        <w:outlineLvl w:val="9"/>
        <w:rPr>
          <w:rFonts w:hint="eastAsia" w:ascii="仿宋_GB2312" w:eastAsia="仿宋_GB2312"/>
          <w:kern w:val="2"/>
          <w:sz w:val="32"/>
          <w:szCs w:val="32"/>
        </w:rPr>
      </w:pPr>
      <w:r>
        <w:rPr>
          <w:rFonts w:hint="eastAsia" w:ascii="仿宋_GB2312" w:hAnsi="Times New Roman" w:eastAsia="仿宋_GB2312" w:cs="Times New Roman"/>
          <w:kern w:val="2"/>
          <w:sz w:val="32"/>
          <w:szCs w:val="32"/>
        </w:rPr>
        <w:t>根据</w:t>
      </w:r>
      <w:r>
        <w:rPr>
          <w:rFonts w:hint="eastAsia" w:ascii="仿宋" w:hAnsi="仿宋" w:eastAsia="仿宋" w:cs="仿宋"/>
          <w:b w:val="0"/>
          <w:i w:val="0"/>
          <w:caps w:val="0"/>
          <w:color w:val="333333"/>
          <w:spacing w:val="0"/>
          <w:kern w:val="2"/>
          <w:sz w:val="32"/>
          <w:szCs w:val="32"/>
          <w:shd w:val="clear" w:color="auto" w:fill="FFFFFF"/>
          <w:lang w:val="en-US" w:eastAsia="zh-CN" w:bidi="ar-SA"/>
        </w:rPr>
        <w:t>《</w:t>
      </w:r>
      <w:r>
        <w:rPr>
          <w:rFonts w:hint="eastAsia" w:ascii="仿宋" w:hAnsi="仿宋" w:eastAsia="仿宋" w:cs="仿宋"/>
          <w:b w:val="0"/>
          <w:i w:val="0"/>
          <w:caps w:val="0"/>
          <w:color w:val="333333"/>
          <w:spacing w:val="0"/>
          <w:kern w:val="2"/>
          <w:sz w:val="32"/>
          <w:szCs w:val="32"/>
          <w:shd w:val="clear" w:color="auto" w:fill="FFFFFF"/>
        </w:rPr>
        <w:t>山东省水路运输安全管理办法</w:t>
      </w:r>
      <w:r>
        <w:rPr>
          <w:rFonts w:hint="eastAsia" w:ascii="仿宋" w:hAnsi="仿宋" w:eastAsia="仿宋" w:cs="仿宋"/>
          <w:b w:val="0"/>
          <w:i w:val="0"/>
          <w:caps w:val="0"/>
          <w:color w:val="333333"/>
          <w:spacing w:val="0"/>
          <w:kern w:val="2"/>
          <w:sz w:val="32"/>
          <w:szCs w:val="32"/>
          <w:shd w:val="clear" w:color="auto" w:fill="FFFFFF"/>
          <w:lang w:val="en-US" w:eastAsia="zh-CN" w:bidi="ar-SA"/>
        </w:rPr>
        <w:t>》、</w:t>
      </w:r>
      <w:r>
        <w:rPr>
          <w:rFonts w:hint="eastAsia" w:ascii="仿宋" w:hAnsi="仿宋" w:eastAsia="仿宋" w:cs="仿宋"/>
          <w:kern w:val="2"/>
          <w:sz w:val="32"/>
          <w:szCs w:val="32"/>
        </w:rPr>
        <w:t>《</w:t>
      </w:r>
      <w:r>
        <w:rPr>
          <w:rFonts w:hint="eastAsia" w:ascii="仿宋" w:hAnsi="仿宋" w:eastAsia="仿宋" w:cs="仿宋"/>
          <w:b w:val="0"/>
          <w:i w:val="0"/>
          <w:caps w:val="0"/>
          <w:color w:val="333333"/>
          <w:spacing w:val="0"/>
          <w:kern w:val="2"/>
          <w:sz w:val="32"/>
          <w:szCs w:val="32"/>
          <w:shd w:val="clear" w:color="auto" w:fill="FFFFFF"/>
        </w:rPr>
        <w:t>山东省渡</w:t>
      </w:r>
      <w:r>
        <w:rPr>
          <w:rFonts w:hint="eastAsia" w:ascii="仿宋" w:hAnsi="仿宋" w:eastAsia="仿宋" w:cs="仿宋"/>
          <w:b w:val="0"/>
          <w:i w:val="0"/>
          <w:caps w:val="0"/>
          <w:color w:val="333333"/>
          <w:spacing w:val="0"/>
          <w:kern w:val="2"/>
          <w:sz w:val="32"/>
          <w:szCs w:val="32"/>
          <w:shd w:val="clear" w:color="auto" w:fill="FFFFFF"/>
          <w:lang w:eastAsia="zh-CN"/>
        </w:rPr>
        <w:t>运</w:t>
      </w:r>
      <w:r>
        <w:rPr>
          <w:rFonts w:hint="eastAsia" w:ascii="仿宋" w:hAnsi="仿宋" w:eastAsia="仿宋" w:cs="仿宋"/>
          <w:b w:val="0"/>
          <w:i w:val="0"/>
          <w:caps w:val="0"/>
          <w:color w:val="333333"/>
          <w:spacing w:val="0"/>
          <w:kern w:val="2"/>
          <w:sz w:val="32"/>
          <w:szCs w:val="32"/>
          <w:shd w:val="clear" w:color="auto" w:fill="FFFFFF"/>
        </w:rPr>
        <w:t>管理办法</w:t>
      </w:r>
      <w:r>
        <w:rPr>
          <w:rFonts w:hint="eastAsia" w:ascii="仿宋" w:hAnsi="仿宋" w:eastAsia="仿宋" w:cs="仿宋"/>
          <w:b w:val="0"/>
          <w:i w:val="0"/>
          <w:caps w:val="0"/>
          <w:color w:val="333333"/>
          <w:spacing w:val="0"/>
          <w:kern w:val="2"/>
          <w:sz w:val="32"/>
          <w:szCs w:val="32"/>
          <w:shd w:val="clear" w:color="auto" w:fill="FFFFFF"/>
          <w:lang w:eastAsia="zh-CN"/>
        </w:rPr>
        <w:t>》、</w:t>
      </w:r>
      <w:r>
        <w:rPr>
          <w:rFonts w:hint="eastAsia" w:ascii="仿宋" w:hAnsi="仿宋" w:eastAsia="仿宋" w:cs="仿宋"/>
          <w:kern w:val="2"/>
          <w:sz w:val="32"/>
          <w:szCs w:val="32"/>
          <w:lang w:eastAsia="zh-CN"/>
        </w:rPr>
        <w:t>《</w:t>
      </w:r>
      <w:r>
        <w:rPr>
          <w:rFonts w:hint="eastAsia" w:ascii="仿宋" w:hAnsi="仿宋" w:eastAsia="仿宋" w:cs="仿宋"/>
          <w:color w:val="333333"/>
          <w:kern w:val="2"/>
          <w:sz w:val="32"/>
          <w:szCs w:val="32"/>
          <w:shd w:val="clear" w:color="auto" w:fill="FFFFFF"/>
        </w:rPr>
        <w:t>内河渡口渡船安全管理规定</w:t>
      </w:r>
      <w:r>
        <w:rPr>
          <w:rFonts w:hint="eastAsia" w:ascii="仿宋" w:hAnsi="仿宋" w:eastAsia="仿宋" w:cs="仿宋"/>
          <w:color w:val="333333"/>
          <w:kern w:val="2"/>
          <w:sz w:val="32"/>
          <w:szCs w:val="32"/>
          <w:shd w:val="clear" w:color="auto" w:fill="FFFFFF"/>
          <w:lang w:eastAsia="zh-CN"/>
        </w:rPr>
        <w:t>》</w:t>
      </w:r>
      <w:r>
        <w:rPr>
          <w:rFonts w:hint="eastAsia" w:ascii="仿宋_GB2312" w:eastAsia="仿宋_GB2312"/>
          <w:kern w:val="2"/>
          <w:sz w:val="32"/>
          <w:szCs w:val="32"/>
        </w:rPr>
        <w:t>等有关法规规章规定，作出如下处理：</w:t>
      </w:r>
    </w:p>
    <w:p>
      <w:pPr>
        <w:pStyle w:val="13"/>
        <w:wordWrap/>
        <w:adjustRightInd w:val="0"/>
        <w:snapToGrid w:val="0"/>
        <w:spacing w:before="0" w:after="0" w:line="600" w:lineRule="exact"/>
        <w:ind w:right="0" w:firstLine="591"/>
        <w:textAlignment w:val="auto"/>
        <w:outlineLvl w:val="9"/>
        <w:rPr>
          <w:rFonts w:hint="eastAsia" w:ascii="仿宋_GB2312" w:eastAsia="仿宋_GB2312"/>
          <w:kern w:val="2"/>
          <w:sz w:val="32"/>
          <w:szCs w:val="32"/>
        </w:rPr>
      </w:pPr>
      <w:r>
        <w:rPr>
          <w:rFonts w:hint="eastAsia" w:ascii="仿宋_GB2312" w:eastAsia="仿宋_GB2312"/>
          <w:kern w:val="2"/>
          <w:sz w:val="32"/>
          <w:szCs w:val="32"/>
        </w:rPr>
        <w:t>（一）批评教育；</w:t>
      </w:r>
    </w:p>
    <w:p>
      <w:pPr>
        <w:pStyle w:val="13"/>
        <w:wordWrap/>
        <w:adjustRightInd w:val="0"/>
        <w:snapToGrid w:val="0"/>
        <w:spacing w:before="0" w:after="0" w:line="600" w:lineRule="exact"/>
        <w:ind w:right="0" w:firstLine="591"/>
        <w:textAlignment w:val="auto"/>
        <w:outlineLvl w:val="9"/>
        <w:rPr>
          <w:rFonts w:hint="eastAsia" w:ascii="仿宋_GB2312" w:eastAsia="仿宋_GB2312"/>
          <w:kern w:val="2"/>
          <w:sz w:val="32"/>
          <w:szCs w:val="32"/>
        </w:rPr>
      </w:pPr>
      <w:r>
        <w:rPr>
          <w:rFonts w:hint="eastAsia" w:ascii="仿宋_GB2312" w:eastAsia="仿宋_GB2312"/>
          <w:kern w:val="2"/>
          <w:sz w:val="32"/>
          <w:szCs w:val="32"/>
        </w:rPr>
        <w:t>（二）责令限期整改；</w:t>
      </w:r>
    </w:p>
    <w:p>
      <w:pPr>
        <w:pStyle w:val="13"/>
        <w:wordWrap/>
        <w:adjustRightInd w:val="0"/>
        <w:snapToGrid w:val="0"/>
        <w:spacing w:before="0" w:after="0" w:line="600" w:lineRule="exact"/>
        <w:ind w:right="0" w:firstLine="591"/>
        <w:textAlignment w:val="auto"/>
        <w:outlineLvl w:val="9"/>
        <w:rPr>
          <w:rFonts w:hint="eastAsia" w:ascii="仿宋_GB2312" w:eastAsia="仿宋_GB2312"/>
          <w:kern w:val="2"/>
          <w:sz w:val="32"/>
          <w:szCs w:val="32"/>
        </w:rPr>
      </w:pPr>
      <w:r>
        <w:rPr>
          <w:rFonts w:hint="eastAsia" w:ascii="仿宋_GB2312" w:eastAsia="仿宋_GB2312"/>
          <w:kern w:val="2"/>
          <w:sz w:val="32"/>
          <w:szCs w:val="32"/>
        </w:rPr>
        <w:t>（三）吊销经营许可证；</w:t>
      </w:r>
    </w:p>
    <w:p>
      <w:pPr>
        <w:pStyle w:val="13"/>
        <w:wordWrap/>
        <w:adjustRightInd w:val="0"/>
        <w:snapToGrid w:val="0"/>
        <w:spacing w:before="0" w:after="0" w:line="600" w:lineRule="exact"/>
        <w:ind w:right="0" w:firstLine="591"/>
        <w:textAlignment w:val="auto"/>
        <w:outlineLvl w:val="9"/>
        <w:rPr>
          <w:rFonts w:hint="eastAsia" w:ascii="仿宋" w:hAnsi="仿宋" w:eastAsia="仿宋" w:cs="仿宋"/>
          <w:b/>
          <w:bCs/>
          <w:kern w:val="2"/>
          <w:sz w:val="32"/>
          <w:szCs w:val="32"/>
        </w:rPr>
      </w:pPr>
      <w:r>
        <w:rPr>
          <w:rFonts w:hint="eastAsia" w:ascii="仿宋_GB2312" w:eastAsia="仿宋_GB2312"/>
          <w:kern w:val="2"/>
          <w:sz w:val="32"/>
          <w:szCs w:val="32"/>
        </w:rPr>
        <w:t>（四）行政处罚。</w:t>
      </w:r>
    </w:p>
    <w:p>
      <w:pPr>
        <w:wordWrap/>
        <w:spacing w:line="600" w:lineRule="exact"/>
        <w:ind w:right="0"/>
        <w:jc w:val="center"/>
        <w:textAlignment w:val="auto"/>
        <w:outlineLvl w:val="9"/>
        <w:rPr>
          <w:rFonts w:hint="eastAsia" w:ascii="仿宋" w:hAnsi="仿宋" w:eastAsia="仿宋" w:cs="仿宋"/>
          <w:b/>
          <w:bCs/>
          <w:kern w:val="2"/>
          <w:sz w:val="32"/>
          <w:szCs w:val="32"/>
        </w:rPr>
      </w:pPr>
    </w:p>
    <w:p>
      <w:pPr>
        <w:wordWrap/>
        <w:spacing w:line="600" w:lineRule="exact"/>
        <w:ind w:right="0"/>
        <w:jc w:val="center"/>
        <w:textAlignment w:val="auto"/>
        <w:outlineLvl w:val="9"/>
        <w:rPr>
          <w:rFonts w:hint="eastAsia" w:ascii="仿宋" w:hAnsi="仿宋" w:eastAsia="仿宋" w:cs="仿宋"/>
          <w:b/>
          <w:bCs/>
          <w:kern w:val="2"/>
          <w:sz w:val="32"/>
          <w:szCs w:val="32"/>
        </w:rPr>
      </w:pPr>
    </w:p>
    <w:p>
      <w:pPr>
        <w:wordWrap/>
        <w:spacing w:line="600" w:lineRule="exact"/>
        <w:ind w:right="0"/>
        <w:jc w:val="center"/>
        <w:textAlignment w:val="auto"/>
        <w:outlineLvl w:val="9"/>
        <w:rPr>
          <w:rFonts w:hint="eastAsia" w:ascii="仿宋" w:hAnsi="仿宋" w:eastAsia="仿宋" w:cs="仿宋"/>
          <w:b/>
          <w:bCs/>
          <w:kern w:val="2"/>
          <w:sz w:val="32"/>
          <w:szCs w:val="32"/>
        </w:rPr>
      </w:pPr>
    </w:p>
    <w:p>
      <w:pPr>
        <w:wordWrap/>
        <w:spacing w:line="600" w:lineRule="exact"/>
        <w:ind w:right="0"/>
        <w:jc w:val="center"/>
        <w:textAlignment w:val="auto"/>
        <w:outlineLvl w:val="9"/>
        <w:rPr>
          <w:rFonts w:hint="eastAsia" w:ascii="仿宋" w:hAnsi="仿宋" w:eastAsia="仿宋" w:cs="仿宋"/>
          <w:b/>
          <w:bCs/>
          <w:kern w:val="2"/>
          <w:sz w:val="32"/>
          <w:szCs w:val="32"/>
        </w:rPr>
      </w:pPr>
    </w:p>
    <w:p>
      <w:pPr>
        <w:wordWrap/>
        <w:spacing w:line="600" w:lineRule="exact"/>
        <w:ind w:right="0"/>
        <w:jc w:val="center"/>
        <w:textAlignment w:val="auto"/>
        <w:outlineLvl w:val="9"/>
        <w:rPr>
          <w:rFonts w:hint="eastAsia" w:ascii="仿宋" w:hAnsi="仿宋" w:eastAsia="仿宋" w:cs="仿宋"/>
          <w:b/>
          <w:bCs/>
          <w:kern w:val="2"/>
          <w:sz w:val="32"/>
          <w:szCs w:val="32"/>
        </w:rPr>
      </w:pPr>
    </w:p>
    <w:p>
      <w:pPr>
        <w:wordWrap/>
        <w:spacing w:line="600" w:lineRule="exact"/>
        <w:ind w:right="0"/>
        <w:jc w:val="center"/>
        <w:textAlignment w:val="auto"/>
        <w:outlineLvl w:val="9"/>
        <w:rPr>
          <w:rFonts w:hint="eastAsia" w:ascii="仿宋" w:hAnsi="仿宋" w:eastAsia="仿宋" w:cs="仿宋"/>
          <w:b/>
          <w:bCs/>
          <w:kern w:val="2"/>
          <w:sz w:val="32"/>
          <w:szCs w:val="32"/>
        </w:rPr>
      </w:pPr>
    </w:p>
    <w:p>
      <w:pPr>
        <w:widowControl w:val="0"/>
        <w:wordWrap/>
        <w:adjustRightInd/>
        <w:snapToGrid/>
        <w:spacing w:line="600" w:lineRule="exact"/>
        <w:ind w:left="0" w:leftChars="0" w:right="0"/>
        <w:jc w:val="both"/>
        <w:textAlignment w:val="auto"/>
        <w:outlineLvl w:val="9"/>
        <w:rPr>
          <w:rFonts w:hint="eastAsia" w:ascii="方正小标宋简体" w:eastAsia="方正小标宋简体"/>
          <w:kern w:val="2"/>
          <w:sz w:val="32"/>
          <w:szCs w:val="32"/>
          <w:lang w:val="en-US" w:eastAsia="zh-CN"/>
        </w:rPr>
      </w:pPr>
    </w:p>
    <w:p>
      <w:pPr>
        <w:widowControl w:val="0"/>
        <w:numPr>
          <w:ilvl w:val="0"/>
          <w:numId w:val="1"/>
        </w:numPr>
        <w:wordWrap/>
        <w:adjustRightInd/>
        <w:snapToGrid/>
        <w:spacing w:line="600" w:lineRule="exact"/>
        <w:ind w:left="0" w:leftChars="0" w:right="0"/>
        <w:jc w:val="center"/>
        <w:textAlignment w:val="auto"/>
        <w:outlineLvl w:val="9"/>
        <w:rPr>
          <w:rFonts w:hint="eastAsia" w:ascii="方正小标宋简体" w:eastAsia="方正小标宋简体"/>
          <w:kern w:val="2"/>
          <w:sz w:val="32"/>
          <w:szCs w:val="32"/>
          <w:lang w:val="en-US" w:eastAsia="zh-CN"/>
        </w:rPr>
      </w:pPr>
      <w:r>
        <w:rPr>
          <w:rFonts w:hint="eastAsia" w:ascii="方正小标宋简体" w:eastAsia="方正小标宋简体"/>
          <w:kern w:val="2"/>
          <w:sz w:val="32"/>
          <w:szCs w:val="32"/>
          <w:lang w:val="en-US" w:eastAsia="zh-CN"/>
        </w:rPr>
        <w:t>水路运输业市场</w:t>
      </w:r>
      <w:bookmarkStart w:id="0" w:name="_GoBack"/>
      <w:bookmarkEnd w:id="0"/>
      <w:r>
        <w:rPr>
          <w:rFonts w:hint="eastAsia" w:ascii="方正小标宋简体" w:eastAsia="方正小标宋简体"/>
          <w:kern w:val="2"/>
          <w:sz w:val="32"/>
          <w:szCs w:val="32"/>
          <w:lang w:val="en-US" w:eastAsia="zh-CN"/>
        </w:rPr>
        <w:t>的监督检查</w:t>
      </w:r>
    </w:p>
    <w:p>
      <w:pPr>
        <w:widowControl w:val="0"/>
        <w:numPr>
          <w:numId w:val="0"/>
        </w:numPr>
        <w:wordWrap/>
        <w:adjustRightInd/>
        <w:snapToGrid/>
        <w:spacing w:line="600" w:lineRule="exact"/>
        <w:ind w:right="0"/>
        <w:jc w:val="both"/>
        <w:textAlignment w:val="auto"/>
        <w:outlineLvl w:val="9"/>
        <w:rPr>
          <w:rFonts w:hint="eastAsia" w:ascii="方正小标宋简体" w:eastAsia="方正小标宋简体"/>
          <w:kern w:val="2"/>
          <w:sz w:val="32"/>
          <w:szCs w:val="32"/>
          <w:lang w:val="en-US" w:eastAsia="zh-CN"/>
        </w:rPr>
      </w:pPr>
    </w:p>
    <w:p>
      <w:pPr>
        <w:widowControl w:val="0"/>
        <w:wordWrap/>
        <w:adjustRightInd/>
        <w:snapToGrid/>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为加强水路运输市场</w:t>
      </w:r>
      <w:r>
        <w:rPr>
          <w:rFonts w:hint="eastAsia" w:ascii="仿宋" w:hAnsi="仿宋" w:eastAsia="仿宋" w:cs="仿宋"/>
          <w:kern w:val="2"/>
          <w:sz w:val="32"/>
          <w:szCs w:val="32"/>
          <w:lang w:eastAsia="zh-CN"/>
        </w:rPr>
        <w:t>监督检查</w:t>
      </w:r>
      <w:r>
        <w:rPr>
          <w:rFonts w:hint="eastAsia" w:ascii="仿宋" w:hAnsi="仿宋" w:eastAsia="仿宋" w:cs="仿宋"/>
          <w:kern w:val="2"/>
          <w:sz w:val="32"/>
          <w:szCs w:val="32"/>
        </w:rPr>
        <w:t>，维护水路运输秩序，保护市场参与者合法权益，打击违法行为，特制定以下事中事后监管制度。</w:t>
      </w:r>
    </w:p>
    <w:p>
      <w:pPr>
        <w:widowControl w:val="0"/>
        <w:wordWrap/>
        <w:adjustRightInd/>
        <w:snapToGrid/>
        <w:spacing w:line="600" w:lineRule="exact"/>
        <w:ind w:left="0" w:leftChars="0" w:right="0" w:firstLine="31680" w:firstLineChars="200"/>
        <w:textAlignment w:val="auto"/>
        <w:outlineLvl w:val="9"/>
        <w:rPr>
          <w:rFonts w:hint="eastAsia" w:ascii="黑体" w:hAnsi="黑体" w:eastAsia="黑体" w:cs="黑体"/>
          <w:b w:val="0"/>
          <w:bCs w:val="0"/>
          <w:kern w:val="2"/>
          <w:sz w:val="32"/>
          <w:szCs w:val="32"/>
        </w:rPr>
      </w:pPr>
      <w:r>
        <w:rPr>
          <w:rFonts w:hint="eastAsia" w:ascii="黑体" w:hAnsi="黑体" w:eastAsia="黑体" w:cs="黑体"/>
          <w:b w:val="0"/>
          <w:bCs w:val="0"/>
          <w:kern w:val="2"/>
          <w:sz w:val="32"/>
          <w:szCs w:val="32"/>
        </w:rPr>
        <w:t>一、监督检查对象</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水路运输企业及其船舶、经营内河普通货物运输业务的个人、船舶管理业务经营企业。</w:t>
      </w:r>
    </w:p>
    <w:p>
      <w:pPr>
        <w:wordWrap/>
        <w:spacing w:line="600" w:lineRule="exact"/>
        <w:ind w:left="0" w:leftChars="0" w:right="0" w:firstLine="31680" w:firstLineChars="200"/>
        <w:textAlignment w:val="auto"/>
        <w:outlineLvl w:val="9"/>
        <w:rPr>
          <w:rFonts w:hint="eastAsia" w:ascii="黑体" w:hAnsi="黑体" w:eastAsia="黑体" w:cs="黑体"/>
          <w:b w:val="0"/>
          <w:bCs w:val="0"/>
          <w:kern w:val="2"/>
          <w:sz w:val="32"/>
          <w:szCs w:val="32"/>
        </w:rPr>
      </w:pPr>
      <w:r>
        <w:rPr>
          <w:rFonts w:hint="eastAsia" w:ascii="黑体" w:hAnsi="黑体" w:eastAsia="黑体" w:cs="黑体"/>
          <w:b w:val="0"/>
          <w:bCs w:val="0"/>
          <w:kern w:val="2"/>
          <w:sz w:val="32"/>
          <w:szCs w:val="32"/>
        </w:rPr>
        <w:t>二、监督检查内容</w:t>
      </w:r>
    </w:p>
    <w:p>
      <w:pPr>
        <w:pStyle w:val="4"/>
        <w:wordWrap/>
        <w:spacing w:before="0" w:beforeAutospacing="0" w:after="0" w:afterAutospacing="0" w:line="600" w:lineRule="exact"/>
        <w:ind w:left="0" w:leftChars="0" w:right="0" w:firstLine="31680" w:firstLineChars="200"/>
        <w:jc w:val="both"/>
        <w:textAlignment w:val="auto"/>
        <w:outlineLvl w:val="9"/>
        <w:rPr>
          <w:rFonts w:hint="eastAsia" w:ascii="楷体" w:hAnsi="楷体" w:eastAsia="楷体" w:cs="楷体"/>
          <w:color w:val="000000"/>
          <w:kern w:val="2"/>
          <w:sz w:val="32"/>
          <w:szCs w:val="32"/>
          <w:shd w:val="clear" w:color="auto" w:fill="FFFFFF"/>
        </w:rPr>
      </w:pPr>
      <w:r>
        <w:rPr>
          <w:rFonts w:hint="eastAsia" w:ascii="楷体" w:hAnsi="楷体" w:eastAsia="楷体" w:cs="楷体"/>
          <w:color w:val="000000"/>
          <w:kern w:val="2"/>
          <w:sz w:val="32"/>
          <w:szCs w:val="32"/>
          <w:shd w:val="clear" w:color="auto" w:fill="FFFFFF"/>
        </w:rPr>
        <w:t>（一）水路运输企业是否符合下列要求</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1、是否具备企业法人条件；</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2、是否有符合规定的船舶，并且自有船舶运力符合国务院交通运输主管部门的规定；</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3、是否有明确的经营范围，其中申请经营水路旅客班轮运输业务的，还应当有可行的航线营运计划；</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4、是否有与其申请的经营范围和船舶运力相适应的海务、机务管理人员；</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5、与其直接订立劳动合同的高级船员占全部船员的比例符合国务院交通运输主管部门的规定；</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6、是否有健全的安全管理制度；</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7、法律、行政法规规定的其他条件；</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8、是否超越许可的经营范围从事经营活动；</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9、是否有违反相关法律法规经营的行为。</w:t>
      </w:r>
    </w:p>
    <w:p>
      <w:pPr>
        <w:pStyle w:val="4"/>
        <w:wordWrap/>
        <w:spacing w:before="0" w:beforeAutospacing="0" w:after="0" w:afterAutospacing="0" w:line="600" w:lineRule="exact"/>
        <w:ind w:left="0" w:leftChars="0" w:right="0" w:firstLine="31680" w:firstLineChars="200"/>
        <w:jc w:val="both"/>
        <w:textAlignment w:val="auto"/>
        <w:outlineLvl w:val="9"/>
        <w:rPr>
          <w:rFonts w:hint="eastAsia" w:ascii="楷体" w:hAnsi="楷体" w:eastAsia="楷体" w:cs="楷体"/>
          <w:color w:val="000000"/>
          <w:kern w:val="2"/>
          <w:sz w:val="32"/>
          <w:szCs w:val="32"/>
          <w:shd w:val="clear" w:color="auto" w:fill="FFFFFF"/>
        </w:rPr>
      </w:pPr>
      <w:r>
        <w:rPr>
          <w:rFonts w:hint="eastAsia" w:ascii="楷体" w:hAnsi="楷体" w:eastAsia="楷体" w:cs="楷体"/>
          <w:color w:val="000000"/>
          <w:kern w:val="2"/>
          <w:sz w:val="32"/>
          <w:szCs w:val="32"/>
          <w:shd w:val="clear" w:color="auto" w:fill="FFFFFF"/>
        </w:rPr>
        <w:t>（二）经营内河普通货物运输业务的个人是否符合下列要求</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1、是否有符合规定的营运船舶；</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2、船舶吨位不超过国务院交通运输主管部门规定的自有船舶；</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3、是否有健全的安全管理制度；</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4、法律、行政法规规定的其他条件；</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5、是否超越许可的经营范围从事经营活动；</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6、是否有违反相关法律法规经营的行为。</w:t>
      </w:r>
    </w:p>
    <w:p>
      <w:pPr>
        <w:pStyle w:val="4"/>
        <w:wordWrap/>
        <w:spacing w:before="0" w:beforeAutospacing="0" w:after="0" w:afterAutospacing="0" w:line="600" w:lineRule="exact"/>
        <w:ind w:left="0" w:leftChars="0" w:right="0" w:firstLine="31680" w:firstLineChars="200"/>
        <w:jc w:val="both"/>
        <w:textAlignment w:val="auto"/>
        <w:outlineLvl w:val="9"/>
        <w:rPr>
          <w:rFonts w:hint="eastAsia" w:ascii="仿宋" w:hAnsi="仿宋" w:eastAsia="仿宋" w:cs="仿宋"/>
          <w:color w:val="000000"/>
          <w:kern w:val="2"/>
          <w:sz w:val="32"/>
          <w:szCs w:val="32"/>
          <w:shd w:val="clear" w:color="auto" w:fill="FFFFFF"/>
        </w:rPr>
      </w:pPr>
      <w:r>
        <w:rPr>
          <w:rFonts w:hint="eastAsia" w:ascii="楷体" w:hAnsi="楷体" w:eastAsia="楷体" w:cs="楷体"/>
          <w:color w:val="000000"/>
          <w:kern w:val="2"/>
          <w:sz w:val="32"/>
          <w:szCs w:val="32"/>
          <w:shd w:val="clear" w:color="auto" w:fill="FFFFFF"/>
        </w:rPr>
        <w:t>（三）水路运输经营者投入运营的船舶是否符合下列要求</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1、是否与经营者的经营范围相适应；</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2、是否取得有效的船舶登记证书和检验证书；</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3、是否符合国务院交通运输主管部门关于船型技术标准和船龄的要求；</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4、法律、行政法规规定的其他条件。</w:t>
      </w:r>
    </w:p>
    <w:p>
      <w:pPr>
        <w:pStyle w:val="4"/>
        <w:wordWrap/>
        <w:spacing w:before="0" w:beforeAutospacing="0" w:after="0" w:afterAutospacing="0" w:line="600" w:lineRule="exact"/>
        <w:ind w:left="0" w:leftChars="0" w:right="0" w:firstLine="31680" w:firstLineChars="200"/>
        <w:jc w:val="both"/>
        <w:textAlignment w:val="auto"/>
        <w:outlineLvl w:val="9"/>
        <w:rPr>
          <w:rFonts w:hint="eastAsia" w:ascii="仿宋" w:hAnsi="仿宋" w:eastAsia="仿宋" w:cs="仿宋"/>
          <w:color w:val="000000"/>
          <w:kern w:val="2"/>
          <w:sz w:val="32"/>
          <w:szCs w:val="32"/>
          <w:shd w:val="clear" w:color="auto" w:fill="FFFFFF"/>
        </w:rPr>
      </w:pPr>
      <w:r>
        <w:rPr>
          <w:rFonts w:hint="eastAsia" w:ascii="楷体" w:hAnsi="楷体" w:eastAsia="楷体" w:cs="楷体"/>
          <w:color w:val="000000"/>
          <w:kern w:val="2"/>
          <w:sz w:val="32"/>
          <w:szCs w:val="32"/>
          <w:shd w:val="clear" w:color="auto" w:fill="FFFFFF"/>
        </w:rPr>
        <w:t>（四）船舶管理业务经营企业是否符合下列要求</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1、是否具备企业法人条件；</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2、船舶管理业务经营企业海务、机务管理人员配备情况；</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3、船舶管理协议签订是否规范；</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4、委托管理的船舶与其管理能力是否符合；</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5、是否建立完整的船舶管理制度；</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6、是否存在代而不管等情况；</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7、是否存在以承运人身份从事水路运输的情况；</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8、法律、行政法规规定的其他要求落实情况。</w:t>
      </w:r>
    </w:p>
    <w:p>
      <w:pPr>
        <w:wordWrap/>
        <w:spacing w:line="600" w:lineRule="exact"/>
        <w:ind w:left="0" w:leftChars="0" w:right="0" w:firstLine="31680" w:firstLineChars="200"/>
        <w:textAlignment w:val="auto"/>
        <w:outlineLvl w:val="9"/>
        <w:rPr>
          <w:rFonts w:hint="eastAsia" w:ascii="黑体" w:hAnsi="黑体" w:eastAsia="黑体" w:cs="黑体"/>
          <w:b w:val="0"/>
          <w:bCs w:val="0"/>
          <w:color w:val="000000"/>
          <w:kern w:val="2"/>
          <w:sz w:val="32"/>
          <w:szCs w:val="32"/>
          <w:shd w:val="clear" w:color="auto" w:fill="FFFFFF"/>
        </w:rPr>
      </w:pPr>
      <w:r>
        <w:rPr>
          <w:rFonts w:hint="eastAsia" w:ascii="黑体" w:hAnsi="黑体" w:eastAsia="黑体" w:cs="黑体"/>
          <w:b w:val="0"/>
          <w:bCs w:val="0"/>
          <w:kern w:val="2"/>
          <w:sz w:val="32"/>
          <w:szCs w:val="32"/>
        </w:rPr>
        <w:t xml:space="preserve"> 三、监督检查方式</w:t>
      </w:r>
    </w:p>
    <w:p>
      <w:pPr>
        <w:numPr>
          <w:ilvl w:val="0"/>
          <w:numId w:val="2"/>
        </w:numPr>
        <w:wordWrap/>
        <w:spacing w:line="600" w:lineRule="exact"/>
        <w:ind w:left="0" w:leftChars="0" w:right="0" w:firstLine="31680" w:firstLineChars="200"/>
        <w:textAlignment w:val="auto"/>
        <w:outlineLvl w:val="9"/>
        <w:rPr>
          <w:rFonts w:hint="eastAsia" w:ascii="楷体" w:hAnsi="楷体" w:eastAsia="楷体" w:cs="楷体"/>
          <w:kern w:val="2"/>
          <w:sz w:val="32"/>
          <w:szCs w:val="32"/>
        </w:rPr>
      </w:pPr>
      <w:r>
        <w:rPr>
          <w:rFonts w:hint="eastAsia" w:ascii="楷体" w:hAnsi="楷体" w:eastAsia="楷体" w:cs="楷体"/>
          <w:kern w:val="2"/>
          <w:sz w:val="32"/>
          <w:szCs w:val="32"/>
        </w:rPr>
        <w:t>定期监督检查。</w:t>
      </w:r>
    </w:p>
    <w:p>
      <w:pPr>
        <w:numPr>
          <w:numId w:val="0"/>
        </w:numPr>
        <w:wordWrap/>
        <w:spacing w:line="600" w:lineRule="exact"/>
        <w:ind w:leftChars="200" w:right="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lang w:val="en-US" w:eastAsia="zh-CN"/>
        </w:rPr>
        <w:t xml:space="preserve">    </w:t>
      </w:r>
      <w:r>
        <w:rPr>
          <w:rFonts w:hint="eastAsia" w:ascii="仿宋" w:hAnsi="仿宋" w:eastAsia="仿宋" w:cs="仿宋"/>
          <w:kern w:val="2"/>
          <w:sz w:val="32"/>
          <w:szCs w:val="32"/>
        </w:rPr>
        <w:t>每年对水路运输企业进行经营资质核查，检查相关企业的经营情况和资质保持情况,检查方式为检查和抽查相结合。</w:t>
      </w:r>
    </w:p>
    <w:p>
      <w:pPr>
        <w:wordWrap/>
        <w:spacing w:line="600" w:lineRule="exact"/>
        <w:ind w:left="0" w:leftChars="0" w:right="0" w:firstLine="31680" w:firstLineChars="200"/>
        <w:textAlignment w:val="auto"/>
        <w:outlineLvl w:val="9"/>
        <w:rPr>
          <w:rFonts w:hint="eastAsia" w:ascii="楷体" w:hAnsi="楷体" w:eastAsia="楷体" w:cs="楷体"/>
          <w:kern w:val="2"/>
          <w:sz w:val="32"/>
          <w:szCs w:val="32"/>
        </w:rPr>
      </w:pPr>
      <w:r>
        <w:rPr>
          <w:rFonts w:hint="eastAsia" w:ascii="楷体" w:hAnsi="楷体" w:eastAsia="楷体" w:cs="楷体"/>
          <w:kern w:val="2"/>
          <w:sz w:val="32"/>
          <w:szCs w:val="32"/>
        </w:rPr>
        <w:t>（二）不定期监督检查。</w:t>
      </w:r>
    </w:p>
    <w:p>
      <w:pPr>
        <w:wordWrap/>
        <w:spacing w:line="600" w:lineRule="exact"/>
        <w:ind w:left="0" w:leftChars="0" w:right="0" w:firstLine="31680" w:firstLineChars="200"/>
        <w:textAlignment w:val="auto"/>
        <w:outlineLvl w:val="9"/>
        <w:rPr>
          <w:rFonts w:hint="eastAsia" w:ascii="仿宋" w:hAnsi="仿宋" w:eastAsia="仿宋" w:cs="仿宋"/>
          <w:color w:val="000000"/>
          <w:kern w:val="2"/>
          <w:sz w:val="32"/>
          <w:szCs w:val="32"/>
        </w:rPr>
      </w:pPr>
      <w:r>
        <w:rPr>
          <w:rFonts w:hint="eastAsia" w:ascii="仿宋" w:hAnsi="仿宋" w:eastAsia="仿宋" w:cs="仿宋"/>
          <w:color w:val="000000"/>
          <w:kern w:val="2"/>
          <w:sz w:val="32"/>
          <w:szCs w:val="32"/>
        </w:rPr>
        <w:t>1、随机抽查。根据上级部署或行业发展需要，结合有关检查活动，每年开展2-3次随机抽查，对违法行为进行查处。</w:t>
      </w:r>
    </w:p>
    <w:p>
      <w:pPr>
        <w:wordWrap/>
        <w:spacing w:line="600" w:lineRule="exact"/>
        <w:ind w:left="0" w:leftChars="0" w:right="0" w:firstLine="31680" w:firstLineChars="200"/>
        <w:textAlignment w:val="auto"/>
        <w:outlineLvl w:val="9"/>
        <w:rPr>
          <w:rFonts w:hint="eastAsia" w:ascii="仿宋" w:hAnsi="仿宋" w:eastAsia="仿宋" w:cs="仿宋"/>
          <w:color w:val="000000"/>
          <w:kern w:val="2"/>
          <w:sz w:val="32"/>
          <w:szCs w:val="32"/>
        </w:rPr>
      </w:pPr>
      <w:r>
        <w:rPr>
          <w:rFonts w:hint="eastAsia" w:ascii="仿宋" w:hAnsi="仿宋" w:eastAsia="仿宋" w:cs="仿宋"/>
          <w:color w:val="000000"/>
          <w:kern w:val="2"/>
          <w:sz w:val="32"/>
          <w:szCs w:val="32"/>
        </w:rPr>
        <w:t>2、不定期抽查。根据上级部署或行业发展需要，结合有关检查活动，每年开展2-3次不定期抽查，对违法行为进行查处。</w:t>
      </w:r>
    </w:p>
    <w:p>
      <w:pPr>
        <w:wordWrap/>
        <w:spacing w:line="600" w:lineRule="exact"/>
        <w:ind w:left="0" w:leftChars="0" w:right="0" w:firstLine="31680" w:firstLineChars="200"/>
        <w:textAlignment w:val="auto"/>
        <w:outlineLvl w:val="9"/>
        <w:rPr>
          <w:rFonts w:hint="eastAsia" w:ascii="仿宋" w:hAnsi="仿宋" w:eastAsia="仿宋" w:cs="仿宋"/>
          <w:color w:val="000000"/>
          <w:kern w:val="2"/>
          <w:sz w:val="32"/>
          <w:szCs w:val="32"/>
        </w:rPr>
      </w:pPr>
      <w:r>
        <w:rPr>
          <w:rFonts w:hint="eastAsia" w:ascii="仿宋" w:hAnsi="仿宋" w:eastAsia="仿宋" w:cs="仿宋"/>
          <w:color w:val="000000"/>
          <w:kern w:val="2"/>
          <w:sz w:val="32"/>
          <w:szCs w:val="32"/>
        </w:rPr>
        <w:t>3、专项检查。根据上级部署或行业发展需要，结合有关检查活动或根据有关举报投诉，针对某个特定问题开展专项检查，对违法行为进行查处。</w:t>
      </w:r>
    </w:p>
    <w:p>
      <w:pPr>
        <w:wordWrap/>
        <w:spacing w:line="600" w:lineRule="exact"/>
        <w:ind w:left="0" w:leftChars="0" w:right="0" w:firstLine="31680" w:firstLineChars="200"/>
        <w:textAlignment w:val="auto"/>
        <w:outlineLvl w:val="9"/>
        <w:rPr>
          <w:rFonts w:hint="eastAsia" w:ascii="仿宋" w:hAnsi="仿宋" w:eastAsia="仿宋" w:cs="仿宋"/>
          <w:color w:val="000000"/>
          <w:kern w:val="2"/>
          <w:sz w:val="32"/>
          <w:szCs w:val="32"/>
        </w:rPr>
      </w:pPr>
      <w:r>
        <w:rPr>
          <w:rFonts w:hint="eastAsia" w:ascii="仿宋" w:hAnsi="仿宋" w:eastAsia="仿宋" w:cs="仿宋"/>
          <w:color w:val="000000"/>
          <w:kern w:val="2"/>
          <w:sz w:val="32"/>
          <w:szCs w:val="32"/>
        </w:rPr>
        <w:t>4、联合执法。根据上级部署或水路运输市场存在的突出问题，结合有关检查活动或根据有关举报投诉，每年开展1-2次联合执法，对违法行为进行查处。</w:t>
      </w:r>
    </w:p>
    <w:p>
      <w:pPr>
        <w:wordWrap/>
        <w:spacing w:line="600" w:lineRule="exact"/>
        <w:ind w:left="0" w:leftChars="0" w:right="0" w:firstLine="31680" w:firstLineChars="200"/>
        <w:textAlignment w:val="auto"/>
        <w:outlineLvl w:val="9"/>
        <w:rPr>
          <w:rFonts w:hint="eastAsia" w:ascii="仿宋" w:hAnsi="仿宋" w:eastAsia="仿宋" w:cs="仿宋"/>
          <w:color w:val="000000"/>
          <w:kern w:val="2"/>
          <w:sz w:val="32"/>
          <w:szCs w:val="32"/>
        </w:rPr>
      </w:pPr>
      <w:r>
        <w:rPr>
          <w:rFonts w:hint="eastAsia" w:ascii="仿宋" w:hAnsi="仿宋" w:eastAsia="仿宋" w:cs="仿宋"/>
          <w:color w:val="000000"/>
          <w:kern w:val="2"/>
          <w:sz w:val="32"/>
          <w:szCs w:val="32"/>
        </w:rPr>
        <w:t>5、诚信监督管理。通过建立诚信档案，以日常监管信息、表彰类良好行为信息、不良行为信息、信用评价信息等为基础，定期依据监管对象的诚信情况、日常经营活动情况、违法情况等，分不同类别，采取相应的激励、预警、惩戒办法。</w:t>
      </w:r>
    </w:p>
    <w:p>
      <w:pPr>
        <w:wordWrap/>
        <w:spacing w:line="600" w:lineRule="exact"/>
        <w:ind w:left="0" w:leftChars="0" w:right="0" w:firstLine="31680" w:firstLineChars="200"/>
        <w:textAlignment w:val="auto"/>
        <w:outlineLvl w:val="9"/>
        <w:rPr>
          <w:rFonts w:hint="eastAsia" w:ascii="黑体" w:hAnsi="黑体" w:eastAsia="黑体" w:cs="黑体"/>
          <w:b w:val="0"/>
          <w:bCs w:val="0"/>
          <w:color w:val="000000"/>
          <w:kern w:val="2"/>
          <w:sz w:val="32"/>
          <w:szCs w:val="32"/>
        </w:rPr>
      </w:pPr>
      <w:r>
        <w:rPr>
          <w:rFonts w:hint="eastAsia" w:ascii="黑体" w:hAnsi="黑体" w:eastAsia="黑体" w:cs="黑体"/>
          <w:b w:val="0"/>
          <w:bCs w:val="0"/>
          <w:color w:val="000000"/>
          <w:kern w:val="2"/>
          <w:sz w:val="32"/>
          <w:szCs w:val="32"/>
        </w:rPr>
        <w:t>四、监督检查程序</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楷体" w:hAnsi="楷体" w:eastAsia="楷体" w:cs="楷体"/>
          <w:kern w:val="2"/>
          <w:sz w:val="32"/>
          <w:szCs w:val="32"/>
        </w:rPr>
        <w:t>（一）制定方案。</w:t>
      </w:r>
      <w:r>
        <w:rPr>
          <w:rFonts w:hint="eastAsia" w:ascii="仿宋" w:hAnsi="仿宋" w:eastAsia="仿宋" w:cs="仿宋"/>
          <w:kern w:val="2"/>
          <w:sz w:val="32"/>
          <w:szCs w:val="32"/>
        </w:rPr>
        <w:t>根据工作计划或发现应予以监督检查的事项，及时制定监督检查方案；</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楷体" w:hAnsi="楷体" w:eastAsia="楷体" w:cs="楷体"/>
          <w:kern w:val="2"/>
          <w:sz w:val="32"/>
          <w:szCs w:val="32"/>
        </w:rPr>
        <w:t>（二）下发通知。</w:t>
      </w:r>
      <w:r>
        <w:rPr>
          <w:rFonts w:hint="eastAsia" w:ascii="仿宋" w:hAnsi="仿宋" w:eastAsia="仿宋" w:cs="仿宋"/>
          <w:kern w:val="2"/>
          <w:sz w:val="32"/>
          <w:szCs w:val="32"/>
        </w:rPr>
        <w:t>根据监督检查方案，制发书面通知，明确监督检查时间、范围及检查方式等；</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楷体" w:hAnsi="楷体" w:eastAsia="楷体" w:cs="楷体"/>
          <w:kern w:val="2"/>
          <w:sz w:val="32"/>
          <w:szCs w:val="32"/>
        </w:rPr>
        <w:t>（三）实施检查。</w:t>
      </w:r>
      <w:r>
        <w:rPr>
          <w:rFonts w:hint="eastAsia" w:ascii="仿宋" w:hAnsi="仿宋" w:eastAsia="仿宋" w:cs="仿宋"/>
          <w:kern w:val="2"/>
          <w:sz w:val="32"/>
          <w:szCs w:val="32"/>
        </w:rPr>
        <w:t>书面核查的，对上报的情况和材料进行审查；实地核查的，指派两名以上工作人员进行检查；</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楷体" w:hAnsi="楷体" w:eastAsia="楷体" w:cs="楷体"/>
          <w:kern w:val="2"/>
          <w:sz w:val="32"/>
          <w:szCs w:val="32"/>
        </w:rPr>
        <w:t>（四）情况反馈。</w:t>
      </w:r>
      <w:r>
        <w:rPr>
          <w:rFonts w:hint="eastAsia" w:ascii="仿宋" w:hAnsi="仿宋" w:eastAsia="仿宋" w:cs="仿宋"/>
          <w:kern w:val="2"/>
          <w:sz w:val="32"/>
          <w:szCs w:val="32"/>
        </w:rPr>
        <w:t>对于检查发现问题的，要现场形成检查意见并向企业负责人反馈，责令其立即或限期整改；</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楷体" w:hAnsi="楷体" w:eastAsia="楷体" w:cs="楷体"/>
          <w:kern w:val="2"/>
          <w:sz w:val="32"/>
          <w:szCs w:val="32"/>
        </w:rPr>
        <w:t>（五）跟踪处理。</w:t>
      </w:r>
      <w:r>
        <w:rPr>
          <w:rFonts w:hint="eastAsia" w:ascii="仿宋" w:hAnsi="仿宋" w:eastAsia="仿宋" w:cs="仿宋"/>
          <w:kern w:val="2"/>
          <w:sz w:val="32"/>
          <w:szCs w:val="32"/>
        </w:rPr>
        <w:t>对企业整改情况进行跟踪、督促。</w:t>
      </w:r>
    </w:p>
    <w:p>
      <w:pPr>
        <w:wordWrap/>
        <w:spacing w:line="600" w:lineRule="exact"/>
        <w:ind w:left="0" w:leftChars="0" w:right="0" w:firstLine="31680" w:firstLineChars="200"/>
        <w:textAlignment w:val="auto"/>
        <w:outlineLvl w:val="9"/>
        <w:rPr>
          <w:rFonts w:hint="eastAsia" w:ascii="黑体" w:hAnsi="黑体" w:eastAsia="黑体" w:cs="黑体"/>
          <w:b w:val="0"/>
          <w:bCs w:val="0"/>
          <w:color w:val="000000"/>
          <w:kern w:val="2"/>
          <w:sz w:val="32"/>
          <w:szCs w:val="32"/>
          <w:shd w:val="clear" w:color="auto" w:fill="FFFFFF"/>
        </w:rPr>
      </w:pPr>
      <w:r>
        <w:rPr>
          <w:rFonts w:hint="eastAsia" w:ascii="黑体" w:hAnsi="黑体" w:eastAsia="黑体" w:cs="黑体"/>
          <w:b w:val="0"/>
          <w:bCs w:val="0"/>
          <w:kern w:val="2"/>
          <w:sz w:val="32"/>
          <w:szCs w:val="32"/>
        </w:rPr>
        <w:t>五、监督检查处理</w:t>
      </w:r>
    </w:p>
    <w:p>
      <w:pPr>
        <w:wordWrap/>
        <w:spacing w:line="600" w:lineRule="exact"/>
        <w:ind w:left="0" w:leftChars="0" w:right="0" w:firstLine="31680" w:firstLineChars="200"/>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对于发现的问题，依据《国内水路运输管理条例》（2012年9月国务院令第625号）、《山东省水路交通管理条例》（2002年1月通过）、《国内水路运输管理规定》（2014年1月交通运输部令第2号）等法规规章的有关规定进行处理。</w:t>
      </w:r>
    </w:p>
    <w:p>
      <w:pPr>
        <w:pStyle w:val="13"/>
        <w:wordWrap/>
        <w:adjustRightInd w:val="0"/>
        <w:snapToGrid w:val="0"/>
        <w:spacing w:before="0" w:after="0" w:line="600" w:lineRule="exact"/>
        <w:ind w:left="0" w:leftChars="0" w:right="0" w:firstLine="591"/>
        <w:textAlignment w:val="auto"/>
        <w:outlineLvl w:val="9"/>
        <w:rPr>
          <w:rFonts w:hint="eastAsia" w:ascii="仿宋_GB2312" w:eastAsia="仿宋_GB2312"/>
          <w:kern w:val="2"/>
          <w:sz w:val="32"/>
          <w:szCs w:val="32"/>
        </w:rPr>
      </w:pPr>
      <w:r>
        <w:rPr>
          <w:rFonts w:hint="eastAsia" w:ascii="仿宋_GB2312" w:eastAsia="仿宋_GB2312"/>
          <w:kern w:val="2"/>
          <w:sz w:val="32"/>
          <w:szCs w:val="32"/>
        </w:rPr>
        <w:t>（一）批评教育；</w:t>
      </w:r>
    </w:p>
    <w:p>
      <w:pPr>
        <w:pStyle w:val="13"/>
        <w:wordWrap/>
        <w:adjustRightInd w:val="0"/>
        <w:snapToGrid w:val="0"/>
        <w:spacing w:before="0" w:after="0" w:line="600" w:lineRule="exact"/>
        <w:ind w:left="0" w:leftChars="0" w:right="0" w:firstLine="591"/>
        <w:textAlignment w:val="auto"/>
        <w:outlineLvl w:val="9"/>
        <w:rPr>
          <w:rFonts w:hint="eastAsia" w:ascii="仿宋_GB2312" w:eastAsia="仿宋_GB2312"/>
          <w:kern w:val="2"/>
          <w:sz w:val="32"/>
          <w:szCs w:val="32"/>
        </w:rPr>
      </w:pPr>
      <w:r>
        <w:rPr>
          <w:rFonts w:hint="eastAsia" w:ascii="仿宋_GB2312" w:eastAsia="仿宋_GB2312"/>
          <w:kern w:val="2"/>
          <w:sz w:val="32"/>
          <w:szCs w:val="32"/>
        </w:rPr>
        <w:t>（二）责令限期整改；</w:t>
      </w:r>
    </w:p>
    <w:p>
      <w:pPr>
        <w:pStyle w:val="13"/>
        <w:wordWrap/>
        <w:adjustRightInd w:val="0"/>
        <w:snapToGrid w:val="0"/>
        <w:spacing w:before="0" w:after="0" w:line="600" w:lineRule="exact"/>
        <w:ind w:left="0" w:leftChars="0" w:right="0" w:firstLine="591"/>
        <w:textAlignment w:val="auto"/>
        <w:outlineLvl w:val="9"/>
        <w:rPr>
          <w:rFonts w:hint="eastAsia" w:ascii="仿宋_GB2312" w:eastAsia="仿宋_GB2312"/>
          <w:kern w:val="2"/>
          <w:sz w:val="32"/>
          <w:szCs w:val="32"/>
        </w:rPr>
      </w:pPr>
      <w:r>
        <w:rPr>
          <w:rFonts w:hint="eastAsia" w:ascii="仿宋_GB2312" w:eastAsia="仿宋_GB2312"/>
          <w:kern w:val="2"/>
          <w:sz w:val="32"/>
          <w:szCs w:val="32"/>
        </w:rPr>
        <w:t>（三）</w:t>
      </w:r>
      <w:r>
        <w:rPr>
          <w:rFonts w:hint="eastAsia" w:ascii="仿宋_GB2312" w:eastAsia="仿宋_GB2312"/>
          <w:kern w:val="2"/>
          <w:sz w:val="32"/>
          <w:szCs w:val="32"/>
          <w:lang w:eastAsia="zh-CN"/>
        </w:rPr>
        <w:t>申请原发证机关</w:t>
      </w:r>
      <w:r>
        <w:rPr>
          <w:rFonts w:hint="eastAsia" w:ascii="仿宋_GB2312" w:eastAsia="仿宋_GB2312"/>
          <w:kern w:val="2"/>
          <w:sz w:val="32"/>
          <w:szCs w:val="32"/>
        </w:rPr>
        <w:t>吊销经营许可证；</w:t>
      </w:r>
    </w:p>
    <w:p>
      <w:pPr>
        <w:wordWrap/>
        <w:spacing w:line="600" w:lineRule="exact"/>
        <w:ind w:right="0"/>
        <w:textAlignment w:val="auto"/>
        <w:outlineLvl w:val="9"/>
        <w:rPr>
          <w:rFonts w:ascii="仿宋_GB2312" w:hAnsi="宋体" w:eastAsia="仿宋_GB2312"/>
          <w:color w:val="FF0000"/>
          <w:szCs w:val="32"/>
        </w:rPr>
      </w:pPr>
      <w:r>
        <w:rPr>
          <w:rFonts w:hint="eastAsia" w:ascii="仿宋_GB2312" w:eastAsia="仿宋_GB2312"/>
          <w:kern w:val="2"/>
          <w:sz w:val="32"/>
          <w:szCs w:val="32"/>
          <w:lang w:val="en-US" w:eastAsia="zh-CN"/>
        </w:rPr>
        <w:t xml:space="preserve">   </w:t>
      </w:r>
      <w:r>
        <w:rPr>
          <w:rFonts w:hint="eastAsia" w:ascii="仿宋_GB2312" w:eastAsia="仿宋_GB2312"/>
          <w:kern w:val="2"/>
          <w:sz w:val="32"/>
          <w:szCs w:val="32"/>
        </w:rPr>
        <w:t>（四）行政处罚。</w:t>
      </w:r>
    </w:p>
    <w:sectPr>
      <w:footerReference r:id="rId4" w:type="default"/>
      <w:footerReference r:id="rId5" w:type="even"/>
      <w:pgSz w:w="11906" w:h="16838"/>
      <w:pgMar w:top="2098" w:right="1474" w:bottom="1985" w:left="1588" w:header="851" w:footer="992" w:gutter="0"/>
      <w:pgNumType w:fmt="numberInDash" w:start="5"/>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方正小标宋简体">
    <w:altName w:val="微软雅黑"/>
    <w:panose1 w:val="03000509000000000000"/>
    <w:charset w:val="86"/>
    <w:family w:val="auto"/>
    <w:pitch w:val="default"/>
    <w:sig w:usb0="00000001" w:usb1="080E0000" w:usb2="00000010" w:usb3="00000000" w:csb0="00040000"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ind w:right="360"/>
      <w:jc w:val="center"/>
      <w:rPr>
        <w:rFonts w:ascii="宋体"/>
        <w:sz w:val="28"/>
        <w:szCs w:val="28"/>
      </w:rPr>
    </w:pPr>
    <w:r>
      <w:rPr>
        <w:rFonts w:ascii="Times New Roman" w:hAnsi="Times New Roman" w:eastAsia="宋体" w:cs="Times New Roman"/>
        <w:kern w:val="2"/>
        <w:sz w:val="28"/>
        <w:szCs w:val="18"/>
        <w:lang w:val="en-US" w:eastAsia="zh-CN" w:bidi="ar-SA"/>
      </w:rPr>
      <w:pict>
        <v:shape id="文本框 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Style w:val="6"/>
                    <w:rFonts w:hint="eastAsia" w:ascii="宋体" w:hAnsi="宋体" w:eastAsia="宋体" w:cs="宋体"/>
                    <w:sz w:val="28"/>
                    <w:szCs w:val="28"/>
                  </w:rPr>
                </w:pPr>
                <w:r>
                  <w:rPr>
                    <w:rStyle w:val="6"/>
                    <w:rFonts w:hint="eastAsia" w:ascii="宋体" w:hAnsi="宋体" w:eastAsia="宋体" w:cs="宋体"/>
                    <w:sz w:val="28"/>
                    <w:szCs w:val="28"/>
                  </w:rPr>
                  <w:fldChar w:fldCharType="begin"/>
                </w:r>
                <w:r>
                  <w:rPr>
                    <w:rStyle w:val="6"/>
                    <w:rFonts w:hint="eastAsia" w:ascii="宋体" w:hAnsi="宋体" w:eastAsia="宋体" w:cs="宋体"/>
                    <w:sz w:val="28"/>
                    <w:szCs w:val="28"/>
                  </w:rPr>
                  <w:instrText xml:space="preserve">PAGE  </w:instrText>
                </w:r>
                <w:r>
                  <w:rPr>
                    <w:rStyle w:val="6"/>
                    <w:rFonts w:hint="eastAsia" w:ascii="宋体" w:hAnsi="宋体" w:eastAsia="宋体" w:cs="宋体"/>
                    <w:sz w:val="28"/>
                    <w:szCs w:val="28"/>
                  </w:rPr>
                  <w:fldChar w:fldCharType="separate"/>
                </w:r>
                <w:r>
                  <w:rPr>
                    <w:rStyle w:val="6"/>
                    <w:rFonts w:hint="eastAsia" w:ascii="宋体" w:hAnsi="宋体" w:eastAsia="宋体" w:cs="宋体"/>
                    <w:sz w:val="28"/>
                    <w:szCs w:val="28"/>
                  </w:rPr>
                  <w:t>- 28 -</w:t>
                </w:r>
                <w:r>
                  <w:rPr>
                    <w:rStyle w:val="6"/>
                    <w:rFonts w:hint="eastAsia" w:ascii="宋体" w:hAnsi="宋体" w:eastAsia="宋体" w:cs="宋体"/>
                    <w:sz w:val="28"/>
                    <w:szCs w:val="28"/>
                  </w:rPr>
                  <w:fldChar w:fldCharType="end"/>
                </w:r>
              </w:p>
            </w:txbxContent>
          </v:textbox>
        </v:shape>
      </w:pic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36248543">
    <w:nsid w:val="559B69DF"/>
    <w:multiLevelType w:val="singleLevel"/>
    <w:tmpl w:val="559B69DF"/>
    <w:lvl w:ilvl="0" w:tentative="1">
      <w:start w:val="1"/>
      <w:numFmt w:val="chineseCounting"/>
      <w:suff w:val="nothing"/>
      <w:lvlText w:val="（%1）"/>
      <w:lvlJc w:val="left"/>
    </w:lvl>
  </w:abstractNum>
  <w:abstractNum w:abstractNumId="1436251015">
    <w:nsid w:val="559B7387"/>
    <w:multiLevelType w:val="singleLevel"/>
    <w:tmpl w:val="559B7387"/>
    <w:lvl w:ilvl="0" w:tentative="1">
      <w:start w:val="2"/>
      <w:numFmt w:val="chineseCounting"/>
      <w:suff w:val="nothing"/>
      <w:lvlText w:val="（%1）"/>
      <w:lvlJc w:val="left"/>
    </w:lvl>
  </w:abstractNum>
  <w:num w:numId="1">
    <w:abstractNumId w:val="1436251015"/>
  </w:num>
  <w:num w:numId="2">
    <w:abstractNumId w:val="14362485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201"/>
  <w:drawingGridVerticalSpacing w:val="228"/>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C353A"/>
    <w:rsid w:val="00003BEB"/>
    <w:rsid w:val="00003CDF"/>
    <w:rsid w:val="0002491D"/>
    <w:rsid w:val="00034299"/>
    <w:rsid w:val="00042F3D"/>
    <w:rsid w:val="00052C7B"/>
    <w:rsid w:val="000623EC"/>
    <w:rsid w:val="00064FC4"/>
    <w:rsid w:val="000908CF"/>
    <w:rsid w:val="00093A22"/>
    <w:rsid w:val="000963BB"/>
    <w:rsid w:val="000B320A"/>
    <w:rsid w:val="000B67CD"/>
    <w:rsid w:val="000B7B3B"/>
    <w:rsid w:val="000E4D35"/>
    <w:rsid w:val="000E5452"/>
    <w:rsid w:val="000E6AF8"/>
    <w:rsid w:val="00123673"/>
    <w:rsid w:val="00131E06"/>
    <w:rsid w:val="00135751"/>
    <w:rsid w:val="00150A30"/>
    <w:rsid w:val="001864B2"/>
    <w:rsid w:val="00196C13"/>
    <w:rsid w:val="00196F88"/>
    <w:rsid w:val="0019741F"/>
    <w:rsid w:val="001A35C5"/>
    <w:rsid w:val="001B0FDF"/>
    <w:rsid w:val="001C6C04"/>
    <w:rsid w:val="001D443E"/>
    <w:rsid w:val="001E145E"/>
    <w:rsid w:val="001E3758"/>
    <w:rsid w:val="001F33E8"/>
    <w:rsid w:val="00214F65"/>
    <w:rsid w:val="002279FE"/>
    <w:rsid w:val="00242D76"/>
    <w:rsid w:val="00247B00"/>
    <w:rsid w:val="00271998"/>
    <w:rsid w:val="00274F01"/>
    <w:rsid w:val="00283834"/>
    <w:rsid w:val="00290E42"/>
    <w:rsid w:val="00295862"/>
    <w:rsid w:val="002B0F63"/>
    <w:rsid w:val="002B5018"/>
    <w:rsid w:val="002D3C39"/>
    <w:rsid w:val="002E72E0"/>
    <w:rsid w:val="002F101B"/>
    <w:rsid w:val="00302E66"/>
    <w:rsid w:val="00311DAA"/>
    <w:rsid w:val="003242E0"/>
    <w:rsid w:val="00336DD1"/>
    <w:rsid w:val="0034199E"/>
    <w:rsid w:val="003436A2"/>
    <w:rsid w:val="00347E81"/>
    <w:rsid w:val="0035605F"/>
    <w:rsid w:val="00366CA5"/>
    <w:rsid w:val="003768A4"/>
    <w:rsid w:val="00390C4C"/>
    <w:rsid w:val="003A4424"/>
    <w:rsid w:val="003E2612"/>
    <w:rsid w:val="003F3798"/>
    <w:rsid w:val="003F3A14"/>
    <w:rsid w:val="00406CCD"/>
    <w:rsid w:val="00413D40"/>
    <w:rsid w:val="00414195"/>
    <w:rsid w:val="00417AA0"/>
    <w:rsid w:val="00433E37"/>
    <w:rsid w:val="00461289"/>
    <w:rsid w:val="004A7C4F"/>
    <w:rsid w:val="004C1760"/>
    <w:rsid w:val="004C643D"/>
    <w:rsid w:val="004D220F"/>
    <w:rsid w:val="004D3DCE"/>
    <w:rsid w:val="004F07A5"/>
    <w:rsid w:val="00541F0A"/>
    <w:rsid w:val="0054332A"/>
    <w:rsid w:val="005579F6"/>
    <w:rsid w:val="00581678"/>
    <w:rsid w:val="005968EE"/>
    <w:rsid w:val="005A002B"/>
    <w:rsid w:val="005B2A3A"/>
    <w:rsid w:val="005B7DFC"/>
    <w:rsid w:val="005D3393"/>
    <w:rsid w:val="005D3AA5"/>
    <w:rsid w:val="005E0931"/>
    <w:rsid w:val="00600098"/>
    <w:rsid w:val="00604B6F"/>
    <w:rsid w:val="006476F7"/>
    <w:rsid w:val="00682A6B"/>
    <w:rsid w:val="0068526B"/>
    <w:rsid w:val="00687A82"/>
    <w:rsid w:val="006A31C1"/>
    <w:rsid w:val="006A6182"/>
    <w:rsid w:val="006D272B"/>
    <w:rsid w:val="007177E4"/>
    <w:rsid w:val="0072274A"/>
    <w:rsid w:val="00723B53"/>
    <w:rsid w:val="00723BAA"/>
    <w:rsid w:val="00737C53"/>
    <w:rsid w:val="00743FCE"/>
    <w:rsid w:val="00754A22"/>
    <w:rsid w:val="00754E9F"/>
    <w:rsid w:val="007558E6"/>
    <w:rsid w:val="00766EAA"/>
    <w:rsid w:val="00767F83"/>
    <w:rsid w:val="007767B2"/>
    <w:rsid w:val="007851A0"/>
    <w:rsid w:val="00792891"/>
    <w:rsid w:val="00796F2A"/>
    <w:rsid w:val="00797925"/>
    <w:rsid w:val="007A1BB6"/>
    <w:rsid w:val="007A41A7"/>
    <w:rsid w:val="007C3324"/>
    <w:rsid w:val="007C6498"/>
    <w:rsid w:val="007D1221"/>
    <w:rsid w:val="007D58AD"/>
    <w:rsid w:val="007E5777"/>
    <w:rsid w:val="007F404D"/>
    <w:rsid w:val="008068B2"/>
    <w:rsid w:val="0086375E"/>
    <w:rsid w:val="008740D1"/>
    <w:rsid w:val="00874F8E"/>
    <w:rsid w:val="008952CF"/>
    <w:rsid w:val="008A2746"/>
    <w:rsid w:val="008A7378"/>
    <w:rsid w:val="008B27ED"/>
    <w:rsid w:val="008D0876"/>
    <w:rsid w:val="008D140E"/>
    <w:rsid w:val="008D4999"/>
    <w:rsid w:val="00901DB0"/>
    <w:rsid w:val="00920423"/>
    <w:rsid w:val="00921987"/>
    <w:rsid w:val="00934A68"/>
    <w:rsid w:val="00945341"/>
    <w:rsid w:val="00965586"/>
    <w:rsid w:val="0098708B"/>
    <w:rsid w:val="009A5687"/>
    <w:rsid w:val="009C5C80"/>
    <w:rsid w:val="009D4FE7"/>
    <w:rsid w:val="009E1F3E"/>
    <w:rsid w:val="00A006CF"/>
    <w:rsid w:val="00A04E36"/>
    <w:rsid w:val="00A062AF"/>
    <w:rsid w:val="00A1394D"/>
    <w:rsid w:val="00A2587F"/>
    <w:rsid w:val="00A25D93"/>
    <w:rsid w:val="00A57AD6"/>
    <w:rsid w:val="00A81441"/>
    <w:rsid w:val="00A942B3"/>
    <w:rsid w:val="00A94EC8"/>
    <w:rsid w:val="00A96EEA"/>
    <w:rsid w:val="00AB4ABE"/>
    <w:rsid w:val="00AB61BD"/>
    <w:rsid w:val="00AC4AED"/>
    <w:rsid w:val="00AC65EB"/>
    <w:rsid w:val="00AF34D7"/>
    <w:rsid w:val="00AF53E2"/>
    <w:rsid w:val="00AF6011"/>
    <w:rsid w:val="00B10A90"/>
    <w:rsid w:val="00B12B26"/>
    <w:rsid w:val="00B130D1"/>
    <w:rsid w:val="00B211D8"/>
    <w:rsid w:val="00B27857"/>
    <w:rsid w:val="00B84492"/>
    <w:rsid w:val="00BA43EE"/>
    <w:rsid w:val="00BB2109"/>
    <w:rsid w:val="00BD15DA"/>
    <w:rsid w:val="00BD76B3"/>
    <w:rsid w:val="00C068B0"/>
    <w:rsid w:val="00C15337"/>
    <w:rsid w:val="00C30C40"/>
    <w:rsid w:val="00C374B6"/>
    <w:rsid w:val="00C571FF"/>
    <w:rsid w:val="00C61E80"/>
    <w:rsid w:val="00C66296"/>
    <w:rsid w:val="00C67517"/>
    <w:rsid w:val="00C80F7D"/>
    <w:rsid w:val="00C81EFC"/>
    <w:rsid w:val="00C834BB"/>
    <w:rsid w:val="00C85229"/>
    <w:rsid w:val="00C861D6"/>
    <w:rsid w:val="00C96EE9"/>
    <w:rsid w:val="00CA4953"/>
    <w:rsid w:val="00CC2B69"/>
    <w:rsid w:val="00CD6A7B"/>
    <w:rsid w:val="00D011FF"/>
    <w:rsid w:val="00D1447E"/>
    <w:rsid w:val="00D26EF4"/>
    <w:rsid w:val="00D3758C"/>
    <w:rsid w:val="00D42107"/>
    <w:rsid w:val="00D4735B"/>
    <w:rsid w:val="00D56B6B"/>
    <w:rsid w:val="00D64A59"/>
    <w:rsid w:val="00D673DD"/>
    <w:rsid w:val="00D754C9"/>
    <w:rsid w:val="00D818F2"/>
    <w:rsid w:val="00D93395"/>
    <w:rsid w:val="00DB2036"/>
    <w:rsid w:val="00DC2A09"/>
    <w:rsid w:val="00DC353A"/>
    <w:rsid w:val="00DC527F"/>
    <w:rsid w:val="00DC7935"/>
    <w:rsid w:val="00DD280E"/>
    <w:rsid w:val="00DD4630"/>
    <w:rsid w:val="00DE1FBF"/>
    <w:rsid w:val="00DF5F14"/>
    <w:rsid w:val="00E12657"/>
    <w:rsid w:val="00E60B3D"/>
    <w:rsid w:val="00E65387"/>
    <w:rsid w:val="00E82802"/>
    <w:rsid w:val="00ED713F"/>
    <w:rsid w:val="00F156ED"/>
    <w:rsid w:val="00F15745"/>
    <w:rsid w:val="00F23E25"/>
    <w:rsid w:val="00F2789D"/>
    <w:rsid w:val="00F34DBD"/>
    <w:rsid w:val="00F35187"/>
    <w:rsid w:val="00F44219"/>
    <w:rsid w:val="00F51254"/>
    <w:rsid w:val="00F85565"/>
    <w:rsid w:val="00F869B1"/>
    <w:rsid w:val="00FF526F"/>
    <w:rsid w:val="00FF687D"/>
    <w:rsid w:val="170D06E0"/>
    <w:rsid w:val="1AD31D10"/>
    <w:rsid w:val="1C60279C"/>
    <w:rsid w:val="1D804DF1"/>
    <w:rsid w:val="224E6148"/>
    <w:rsid w:val="257D3147"/>
    <w:rsid w:val="26423351"/>
    <w:rsid w:val="320D2EAD"/>
    <w:rsid w:val="36366780"/>
    <w:rsid w:val="3A8A2E97"/>
    <w:rsid w:val="3D002D94"/>
    <w:rsid w:val="3DD230EC"/>
    <w:rsid w:val="4ADA671D"/>
    <w:rsid w:val="5F164911"/>
    <w:rsid w:val="631E69AA"/>
    <w:rsid w:val="671962B5"/>
    <w:rsid w:val="698B29A0"/>
    <w:rsid w:val="6CFA3457"/>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nhideWhenUsed="0" w:uiPriority="99" w:semiHidden="0" w:name="line number" w:locked="1"/>
    <w:lsdException w:unhideWhenUsed="0" w:uiPriority="99" w:semiHidden="0" w:name="page number" w:locked="1"/>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nhideWhenUsed="0" w:uiPriority="99" w:semiHidden="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0"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5">
    <w:name w:val="Default Paragraph Font"/>
    <w:semiHidden/>
    <w:uiPriority w:val="99"/>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2">
    <w:name w:val="footer"/>
    <w:basedOn w:val="1"/>
    <w:link w:val="15"/>
    <w:uiPriority w:val="99"/>
    <w:pPr>
      <w:tabs>
        <w:tab w:val="center" w:pos="4153"/>
        <w:tab w:val="right" w:pos="8306"/>
      </w:tabs>
      <w:snapToGrid w:val="0"/>
      <w:jc w:val="left"/>
    </w:pPr>
    <w:rPr>
      <w:sz w:val="18"/>
      <w:szCs w:val="18"/>
    </w:rPr>
  </w:style>
  <w:style w:type="paragraph" w:styleId="3">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widowControl/>
      <w:spacing w:before="100" w:beforeAutospacing="1" w:after="100" w:afterAutospacing="1"/>
      <w:jc w:val="left"/>
    </w:pPr>
    <w:rPr>
      <w:rFonts w:ascii="宋体" w:hAnsi="宋体" w:cs="宋体"/>
      <w:kern w:val="0"/>
    </w:rPr>
  </w:style>
  <w:style w:type="character" w:styleId="6">
    <w:name w:val="page number"/>
    <w:basedOn w:val="5"/>
    <w:locked/>
    <w:uiPriority w:val="99"/>
    <w:rPr>
      <w:rFonts w:cs="Times New Roman"/>
    </w:rPr>
  </w:style>
  <w:style w:type="character" w:styleId="7">
    <w:name w:val="line number"/>
    <w:basedOn w:val="5"/>
    <w:locked/>
    <w:uiPriority w:val="99"/>
    <w:rPr>
      <w:rFonts w:cs="Times New Roman"/>
    </w:rPr>
  </w:style>
  <w:style w:type="character" w:styleId="8">
    <w:name w:val="Hyperlink"/>
    <w:basedOn w:val="5"/>
    <w:locked/>
    <w:uiPriority w:val="99"/>
    <w:rPr>
      <w:rFonts w:cs="Times New Roman"/>
      <w:color w:val="0000FF"/>
      <w:u w:val="single"/>
    </w:rPr>
  </w:style>
  <w:style w:type="paragraph" w:customStyle="1" w:styleId="10">
    <w:name w:val="Char Char Char"/>
    <w:basedOn w:val="1"/>
    <w:uiPriority w:val="99"/>
    <w:pPr>
      <w:widowControl/>
      <w:spacing w:after="160" w:line="240" w:lineRule="exact"/>
      <w:jc w:val="left"/>
    </w:pPr>
    <w:rPr>
      <w:rFonts w:ascii="Calibri" w:hAnsi="Calibri"/>
      <w:szCs w:val="22"/>
    </w:rPr>
  </w:style>
  <w:style w:type="paragraph" w:customStyle="1" w:styleId="11">
    <w:name w:val="列出段落1"/>
    <w:basedOn w:val="1"/>
    <w:uiPriority w:val="99"/>
    <w:pPr>
      <w:ind w:firstLine="420" w:firstLineChars="200"/>
    </w:pPr>
    <w:rPr>
      <w:rFonts w:ascii="Calibri" w:hAnsi="Calibri"/>
      <w:szCs w:val="22"/>
    </w:rPr>
  </w:style>
  <w:style w:type="paragraph" w:customStyle="1" w:styleId="12">
    <w:name w:val="Char"/>
    <w:basedOn w:val="1"/>
    <w:uiPriority w:val="99"/>
    <w:pPr>
      <w:widowControl/>
      <w:spacing w:beforeLines="100" w:after="160" w:line="240" w:lineRule="exact"/>
      <w:jc w:val="left"/>
    </w:pPr>
    <w:rPr>
      <w:rFonts w:ascii="Verdana" w:hAnsi="Verdana"/>
      <w:kern w:val="0"/>
      <w:sz w:val="20"/>
      <w:szCs w:val="20"/>
      <w:lang w:eastAsia="en-US"/>
    </w:rPr>
  </w:style>
  <w:style w:type="paragraph" w:customStyle="1" w:styleId="13">
    <w:name w:val="p17"/>
    <w:basedOn w:val="1"/>
    <w:uiPriority w:val="0"/>
    <w:pPr>
      <w:widowControl/>
      <w:spacing w:before="100" w:after="100"/>
      <w:jc w:val="left"/>
    </w:pPr>
    <w:rPr>
      <w:rFonts w:ascii="宋体" w:hAnsi="宋体" w:eastAsia="宋体" w:cs="宋体"/>
      <w:kern w:val="0"/>
      <w:sz w:val="24"/>
      <w:szCs w:val="24"/>
    </w:rPr>
  </w:style>
  <w:style w:type="character" w:customStyle="1" w:styleId="14">
    <w:name w:val="Header Char"/>
    <w:basedOn w:val="5"/>
    <w:link w:val="3"/>
    <w:locked/>
    <w:uiPriority w:val="99"/>
    <w:rPr>
      <w:rFonts w:cs="Times New Roman"/>
      <w:kern w:val="2"/>
      <w:sz w:val="18"/>
    </w:rPr>
  </w:style>
  <w:style w:type="character" w:customStyle="1" w:styleId="15">
    <w:name w:val="Footer Char"/>
    <w:basedOn w:val="5"/>
    <w:link w:val="2"/>
    <w:locked/>
    <w:uiPriority w:val="99"/>
    <w:rPr>
      <w:rFonts w:cs="Times New Roman"/>
      <w:kern w:val="2"/>
      <w:sz w:val="18"/>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31</Pages>
  <Words>1756</Words>
  <Characters>10015</Characters>
  <Lines>0</Lines>
  <Paragraphs>0</Paragraphs>
  <ScaleCrop>false</ScaleCrop>
  <LinksUpToDate>false</LinksUpToDate>
  <CharactersWithSpaces>0</CharactersWithSpaces>
  <Application>WPS Office_9.1.0.5108_{F1E327BC-269C-435d-A152-05C5408002CA}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2015-06-19T06:54:00Z</dcterms:created>
  <dc:creator>微软用户</dc:creator>
  <cp:lastModifiedBy>Administrator</cp:lastModifiedBy>
  <cp:lastPrinted>2015-06-23T01:42:00Z</cp:lastPrinted>
  <dcterms:modified xsi:type="dcterms:W3CDTF">2015-07-07T07:14:00Z</dcterms:modified>
  <dc:title>内河水上交通安全监管制度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ies>
</file>