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42393">
      <w:pPr>
        <w:pStyle w:val="2"/>
        <w:pageBreakBefore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枣庄市台儿庄区自然资源局</w:t>
      </w:r>
    </w:p>
    <w:p w14:paraId="25DE09C5">
      <w:pPr>
        <w:pStyle w:val="2"/>
        <w:pageBreakBefore w:val="0"/>
        <w:kinsoku/>
        <w:wordWrap/>
        <w:overflowPunct/>
        <w:topLinePunct w:val="0"/>
        <w:autoSpaceDE/>
        <w:autoSpaceDN/>
        <w:bidi w:val="0"/>
        <w:adjustRightInd/>
        <w:snapToGrid/>
        <w:spacing w:before="0" w:beforeLines="0" w:after="0" w:afterLines="0" w:line="560" w:lineRule="exact"/>
        <w:jc w:val="center"/>
        <w:textAlignment w:val="auto"/>
        <w:rPr>
          <w:rFonts w:hint="eastAsia"/>
        </w:rPr>
      </w:pPr>
      <w:r>
        <w:rPr>
          <w:rFonts w:hint="eastAsia" w:ascii="方正小标宋简体" w:hAnsi="方正小标宋简体" w:eastAsia="方正小标宋简体" w:cs="方正小标宋简体"/>
          <w:b w:val="0"/>
          <w:bCs/>
        </w:rPr>
        <w:t>202</w:t>
      </w:r>
      <w:r>
        <w:rPr>
          <w:rFonts w:hint="eastAsia" w:ascii="方正小标宋简体" w:hAnsi="方正小标宋简体" w:eastAsia="方正小标宋简体" w:cs="方正小标宋简体"/>
          <w:b w:val="0"/>
          <w:bCs/>
          <w:lang w:val="en-US" w:eastAsia="zh-CN"/>
        </w:rPr>
        <w:t>5</w:t>
      </w:r>
      <w:r>
        <w:rPr>
          <w:rFonts w:hint="eastAsia" w:ascii="方正小标宋简体" w:hAnsi="方正小标宋简体" w:eastAsia="方正小标宋简体" w:cs="方正小标宋简体"/>
          <w:b w:val="0"/>
          <w:bCs/>
        </w:rPr>
        <w:t>年政府信息公开工作年度报告</w:t>
      </w:r>
    </w:p>
    <w:p w14:paraId="39FF3C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0"/>
          <w:szCs w:val="30"/>
          <w:shd w:val="clear" w:fill="FFFFFF"/>
        </w:rPr>
      </w:pPr>
    </w:p>
    <w:p w14:paraId="510DF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本年度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内容包括总体情况、主动公开政府信息情况、收到和处理政府信息公开申请情况、政府信息公开行政复议和行政诉讼情况、存在的主要问题及改进情况、其他需要报告的事项六个部分。本年度报告中所列数据的统计期限自2025年1月1日起，至2025年12月31日止。本年度报告电子版可从台儿庄区人民政府门户网站（http://www.tez.gov.cn/）查阅或下载。如对报告内容有疑问，请与</w:t>
      </w:r>
      <w:r>
        <w:rPr>
          <w:rFonts w:hint="eastAsia" w:ascii="仿宋_GB2312" w:hAnsi="仿宋_GB2312" w:eastAsia="仿宋_GB2312" w:cs="仿宋_GB2312"/>
          <w:i w:val="0"/>
          <w:iCs w:val="0"/>
          <w:caps w:val="0"/>
          <w:color w:val="000000"/>
          <w:spacing w:val="0"/>
          <w:sz w:val="32"/>
          <w:szCs w:val="32"/>
          <w:shd w:val="clear" w:fill="FFFFFF"/>
          <w:lang w:val="en-US" w:eastAsia="zh-CN"/>
        </w:rPr>
        <w:t>枣庄市台儿庄区</w:t>
      </w:r>
      <w:r>
        <w:rPr>
          <w:rFonts w:hint="eastAsia" w:ascii="仿宋_GB2312" w:hAnsi="仿宋_GB2312" w:eastAsia="仿宋_GB2312" w:cs="仿宋_GB2312"/>
          <w:i w:val="0"/>
          <w:iCs w:val="0"/>
          <w:caps w:val="0"/>
          <w:color w:val="000000"/>
          <w:spacing w:val="0"/>
          <w:sz w:val="32"/>
          <w:szCs w:val="32"/>
          <w:shd w:val="clear" w:fill="FFFFFF"/>
        </w:rPr>
        <w:t>自然资源局联系（地址：</w:t>
      </w:r>
      <w:r>
        <w:rPr>
          <w:rFonts w:hint="eastAsia" w:ascii="仿宋_GB2312" w:hAnsi="仿宋_GB2312" w:eastAsia="仿宋_GB2312" w:cs="仿宋_GB2312"/>
          <w:i w:val="0"/>
          <w:iCs w:val="0"/>
          <w:caps w:val="0"/>
          <w:color w:val="000000"/>
          <w:spacing w:val="0"/>
          <w:sz w:val="32"/>
          <w:szCs w:val="32"/>
          <w:shd w:val="clear" w:fill="FFFFFF"/>
          <w:lang w:val="en-US" w:eastAsia="zh-CN"/>
        </w:rPr>
        <w:t>枣庄市台儿庄区林运路与文化中路交叉口北150米</w:t>
      </w:r>
      <w:r>
        <w:rPr>
          <w:rFonts w:hint="eastAsia" w:ascii="仿宋_GB2312" w:hAnsi="仿宋_GB2312" w:eastAsia="仿宋_GB2312" w:cs="仿宋_GB2312"/>
          <w:i w:val="0"/>
          <w:iCs w:val="0"/>
          <w:caps w:val="0"/>
          <w:color w:val="000000"/>
          <w:spacing w:val="0"/>
          <w:sz w:val="32"/>
          <w:szCs w:val="32"/>
          <w:shd w:val="clear" w:fill="FFFFFF"/>
        </w:rPr>
        <w:t>；邮编：</w:t>
      </w:r>
      <w:r>
        <w:rPr>
          <w:rFonts w:hint="eastAsia" w:ascii="仿宋_GB2312" w:hAnsi="仿宋_GB2312" w:eastAsia="仿宋_GB2312" w:cs="仿宋_GB2312"/>
          <w:i w:val="0"/>
          <w:iCs w:val="0"/>
          <w:caps w:val="0"/>
          <w:color w:val="000000"/>
          <w:spacing w:val="0"/>
          <w:sz w:val="32"/>
          <w:szCs w:val="32"/>
          <w:shd w:val="clear" w:fill="FFFFFF"/>
          <w:lang w:val="en-US" w:eastAsia="zh-CN"/>
        </w:rPr>
        <w:t>277400</w:t>
      </w:r>
      <w:r>
        <w:rPr>
          <w:rFonts w:hint="eastAsia" w:ascii="仿宋_GB2312" w:hAnsi="仿宋_GB2312" w:eastAsia="仿宋_GB2312" w:cs="仿宋_GB2312"/>
          <w:i w:val="0"/>
          <w:iCs w:val="0"/>
          <w:caps w:val="0"/>
          <w:color w:val="000000"/>
          <w:spacing w:val="0"/>
          <w:sz w:val="32"/>
          <w:szCs w:val="32"/>
          <w:shd w:val="clear" w:fill="FFFFFF"/>
        </w:rPr>
        <w:t>；电话：0</w:t>
      </w:r>
      <w:r>
        <w:rPr>
          <w:rFonts w:hint="eastAsia" w:ascii="仿宋_GB2312" w:hAnsi="仿宋_GB2312" w:eastAsia="仿宋_GB2312" w:cs="仿宋_GB2312"/>
          <w:i w:val="0"/>
          <w:iCs w:val="0"/>
          <w:caps w:val="0"/>
          <w:color w:val="000000"/>
          <w:spacing w:val="0"/>
          <w:sz w:val="32"/>
          <w:szCs w:val="32"/>
          <w:shd w:val="clear" w:fill="FFFFFF"/>
          <w:lang w:val="en-US" w:eastAsia="zh-CN"/>
        </w:rPr>
        <w:t>632</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6681716</w:t>
      </w:r>
      <w:r>
        <w:rPr>
          <w:rFonts w:hint="eastAsia" w:ascii="仿宋_GB2312" w:hAnsi="仿宋_GB2312" w:eastAsia="仿宋_GB2312" w:cs="仿宋_GB2312"/>
          <w:i w:val="0"/>
          <w:iCs w:val="0"/>
          <w:caps w:val="0"/>
          <w:color w:val="000000"/>
          <w:spacing w:val="0"/>
          <w:sz w:val="32"/>
          <w:szCs w:val="32"/>
          <w:shd w:val="clear" w:fill="FFFFFF"/>
        </w:rPr>
        <w:t>；电子邮箱</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color w:val="000000"/>
          <w:sz w:val="32"/>
          <w:szCs w:val="32"/>
        </w:rPr>
        <w:t>tezgt6611716@zz.shandong.cn</w:t>
      </w:r>
      <w:r>
        <w:rPr>
          <w:rFonts w:hint="eastAsia" w:ascii="仿宋_GB2312" w:hAnsi="仿宋_GB2312" w:eastAsia="仿宋_GB2312" w:cs="仿宋_GB2312"/>
          <w:i w:val="0"/>
          <w:iCs w:val="0"/>
          <w:caps w:val="0"/>
          <w:color w:val="000000"/>
          <w:spacing w:val="0"/>
          <w:sz w:val="32"/>
          <w:szCs w:val="32"/>
          <w:shd w:val="clear" w:fill="FFFFFF"/>
        </w:rPr>
        <w:t>）。</w:t>
      </w:r>
    </w:p>
    <w:p w14:paraId="1B4DE7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333333"/>
          <w:spacing w:val="0"/>
          <w:sz w:val="32"/>
          <w:szCs w:val="32"/>
          <w:shd w:val="clear" w:fill="FFFFFF"/>
        </w:rPr>
        <w:t>一、总体情况</w:t>
      </w:r>
    </w:p>
    <w:p w14:paraId="738493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2025年</w:t>
      </w:r>
      <w:r>
        <w:rPr>
          <w:rFonts w:hint="eastAsia" w:ascii="仿宋_GB2312" w:hAnsi="仿宋_GB2312" w:eastAsia="仿宋_GB2312" w:cs="仿宋_GB2312"/>
          <w:i w:val="0"/>
          <w:iCs w:val="0"/>
          <w:caps w:val="0"/>
          <w:color w:val="000000"/>
          <w:spacing w:val="0"/>
          <w:sz w:val="32"/>
          <w:szCs w:val="32"/>
          <w:shd w:val="clear" w:fill="FFFFFF"/>
          <w:lang w:val="en-US" w:eastAsia="zh-CN"/>
        </w:rPr>
        <w:t>台儿庄区</w:t>
      </w:r>
      <w:r>
        <w:rPr>
          <w:rFonts w:hint="eastAsia" w:ascii="仿宋_GB2312" w:hAnsi="仿宋_GB2312" w:eastAsia="仿宋_GB2312" w:cs="仿宋_GB2312"/>
          <w:i w:val="0"/>
          <w:iCs w:val="0"/>
          <w:caps w:val="0"/>
          <w:color w:val="000000"/>
          <w:spacing w:val="0"/>
          <w:sz w:val="32"/>
          <w:szCs w:val="32"/>
          <w:shd w:val="clear" w:fill="FFFFFF"/>
        </w:rPr>
        <w:t>自然资源局全面贯彻落实党的二十大和二十届四中全会精神，认真执行《中华人民共和国政府信息公开条例》,积极应对政府信息公开面临的新形势新任务新要求，准确把握新时代政府信息公开职责定位，依法及时、准确公开政府信息，以公开促落实、促规范、促服务。</w:t>
      </w:r>
    </w:p>
    <w:p w14:paraId="16D4D6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楷体_GB2312" w:hAnsi="楷体_GB2312" w:eastAsia="楷体_GB2312" w:cs="楷体_GB2312"/>
          <w:b w:val="0"/>
          <w:bCs w:val="0"/>
          <w:i w:val="0"/>
          <w:iCs w:val="0"/>
          <w:caps w:val="0"/>
          <w:color w:val="333333"/>
          <w:spacing w:val="0"/>
          <w:sz w:val="32"/>
          <w:szCs w:val="32"/>
          <w:shd w:val="clear" w:fill="FFFFFF"/>
        </w:rPr>
        <w:t>1.主动公开。</w:t>
      </w:r>
      <w:r>
        <w:rPr>
          <w:rFonts w:hint="eastAsia" w:ascii="仿宋_GB2312" w:hAnsi="仿宋_GB2312" w:eastAsia="仿宋_GB2312" w:cs="仿宋_GB2312"/>
          <w:b w:val="0"/>
          <w:bCs w:val="0"/>
          <w:i w:val="0"/>
          <w:iCs w:val="0"/>
          <w:caps w:val="0"/>
          <w:color w:val="333333"/>
          <w:spacing w:val="0"/>
          <w:sz w:val="32"/>
          <w:szCs w:val="32"/>
          <w:shd w:val="clear" w:fill="FFFFFF"/>
        </w:rPr>
        <w:t>我局通过</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台儿庄区</w:t>
      </w:r>
      <w:r>
        <w:rPr>
          <w:rFonts w:hint="eastAsia" w:ascii="仿宋_GB2312" w:hAnsi="仿宋_GB2312" w:eastAsia="仿宋_GB2312" w:cs="仿宋_GB2312"/>
          <w:b w:val="0"/>
          <w:bCs w:val="0"/>
          <w:i w:val="0"/>
          <w:iCs w:val="0"/>
          <w:caps w:val="0"/>
          <w:color w:val="333333"/>
          <w:spacing w:val="0"/>
          <w:sz w:val="32"/>
          <w:szCs w:val="32"/>
          <w:shd w:val="clear" w:fill="FFFFFF"/>
        </w:rPr>
        <w:t>政务网主动公开政府信息</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26</w:t>
      </w:r>
      <w:r>
        <w:rPr>
          <w:rFonts w:hint="eastAsia" w:ascii="仿宋_GB2312" w:hAnsi="仿宋_GB2312" w:eastAsia="仿宋_GB2312" w:cs="仿宋_GB2312"/>
          <w:b w:val="0"/>
          <w:bCs w:val="0"/>
          <w:i w:val="0"/>
          <w:iCs w:val="0"/>
          <w:caps w:val="0"/>
          <w:color w:val="333333"/>
          <w:spacing w:val="0"/>
          <w:sz w:val="32"/>
          <w:szCs w:val="32"/>
          <w:shd w:val="clear" w:fill="FFFFFF"/>
        </w:rPr>
        <w:t>条，包括公文法规、政策解读、公告公示、工作动态、、规划公示、财政信息、行政执法公示信息等。</w:t>
      </w:r>
    </w:p>
    <w:p w14:paraId="45C0D3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0"/>
          <w:szCs w:val="30"/>
          <w:shd w:val="clear" w:fill="FFFFFF"/>
        </w:rPr>
      </w:pPr>
      <w:r>
        <w:rPr>
          <w:rFonts w:hint="eastAsia" w:ascii="楷体_GB2312" w:hAnsi="楷体_GB2312" w:eastAsia="楷体_GB2312" w:cs="楷体_GB2312"/>
          <w:b w:val="0"/>
          <w:bCs w:val="0"/>
          <w:i w:val="0"/>
          <w:iCs w:val="0"/>
          <w:caps w:val="0"/>
          <w:color w:val="333333"/>
          <w:spacing w:val="0"/>
          <w:sz w:val="32"/>
          <w:szCs w:val="32"/>
          <w:shd w:val="clear" w:fill="FFFFFF"/>
        </w:rPr>
        <w:t>2.依申请公开。</w:t>
      </w:r>
      <w:r>
        <w:rPr>
          <w:rFonts w:hint="eastAsia" w:ascii="仿宋_GB2312" w:hAnsi="仿宋_GB2312" w:eastAsia="仿宋_GB2312" w:cs="仿宋_GB2312"/>
          <w:b w:val="0"/>
          <w:bCs w:val="0"/>
          <w:i w:val="0"/>
          <w:iCs w:val="0"/>
          <w:caps w:val="0"/>
          <w:color w:val="333333"/>
          <w:spacing w:val="0"/>
          <w:sz w:val="32"/>
          <w:szCs w:val="32"/>
          <w:shd w:val="clear" w:fill="FFFFFF"/>
        </w:rPr>
        <w:t>2025年，我局共收到依申请政府信息公开17件，与去年持平，主要涉及征地、规划等领域信息。所有申请均严格按照法定程序和时限要求进行办理，确保申请人合法权益得到保障。均无收费。</w:t>
      </w:r>
    </w:p>
    <w:p w14:paraId="5B72AF9C">
      <w:pPr>
        <w:rPr>
          <w:rFonts w:hint="eastAsia" w:ascii="仿宋_GB2312" w:hAnsi="仿宋_GB2312" w:eastAsia="仿宋_GB2312" w:cs="仿宋_GB2312"/>
          <w:b w:val="0"/>
          <w:bCs w:val="0"/>
          <w:i w:val="0"/>
          <w:iCs w:val="0"/>
          <w:caps w:val="0"/>
          <w:color w:val="333333"/>
          <w:spacing w:val="0"/>
          <w:sz w:val="24"/>
          <w:szCs w:val="24"/>
          <w:shd w:val="clear" w:fill="FFFFFF"/>
          <w:lang w:val="en-US" w:eastAsia="zh-CN"/>
        </w:rPr>
      </w:pPr>
      <w:r>
        <w:rPr>
          <w:rFonts w:ascii="sans-serif" w:hAnsi="sans-serif" w:eastAsia="sans-serif" w:cs="sans-serif"/>
          <w:i w:val="0"/>
          <w:iCs w:val="0"/>
          <w:caps w:val="0"/>
          <w:color w:val="000000"/>
          <w:spacing w:val="0"/>
          <w:sz w:val="27"/>
          <w:szCs w:val="27"/>
        </w:rPr>
        <w:drawing>
          <wp:inline distT="0" distB="0" distL="114300" distR="114300">
            <wp:extent cx="5276850" cy="23717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6850" cy="2371725"/>
                    </a:xfrm>
                    <a:prstGeom prst="rect">
                      <a:avLst/>
                    </a:prstGeom>
                    <a:noFill/>
                    <a:ln w="9525">
                      <a:noFill/>
                    </a:ln>
                  </pic:spPr>
                </pic:pic>
              </a:graphicData>
            </a:graphic>
          </wp:inline>
        </w:drawing>
      </w:r>
    </w:p>
    <w:p w14:paraId="319B7B26">
      <w:pPr>
        <w:rPr>
          <w:rFonts w:hint="eastAsia" w:ascii="仿宋_GB2312" w:hAnsi="仿宋_GB2312" w:eastAsia="仿宋_GB2312" w:cs="仿宋_GB2312"/>
          <w:b w:val="0"/>
          <w:bCs w:val="0"/>
          <w:i w:val="0"/>
          <w:iCs w:val="0"/>
          <w:caps w:val="0"/>
          <w:color w:val="333333"/>
          <w:spacing w:val="0"/>
          <w:sz w:val="24"/>
          <w:szCs w:val="24"/>
          <w:shd w:val="clear" w:fill="FFFFFF"/>
        </w:rPr>
      </w:pPr>
      <w:r>
        <w:rPr>
          <w:rFonts w:hint="eastAsia" w:ascii="仿宋_GB2312" w:hAnsi="仿宋_GB2312" w:eastAsia="仿宋_GB2312" w:cs="仿宋_GB2312"/>
          <w:sz w:val="24"/>
          <w:szCs w:val="24"/>
          <w:lang w:eastAsia="zh-CN"/>
        </w:rPr>
        <w:drawing>
          <wp:inline distT="0" distB="0" distL="114300" distR="114300">
            <wp:extent cx="5256530" cy="2741295"/>
            <wp:effectExtent l="4445" t="4445" r="15875"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CA67D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楷体_GB2312" w:hAnsi="楷体_GB2312" w:eastAsia="楷体_GB2312" w:cs="楷体_GB2312"/>
          <w:b w:val="0"/>
          <w:bCs w:val="0"/>
          <w:i w:val="0"/>
          <w:iCs w:val="0"/>
          <w:caps w:val="0"/>
          <w:color w:val="333333"/>
          <w:spacing w:val="0"/>
          <w:sz w:val="32"/>
          <w:szCs w:val="32"/>
          <w:shd w:val="clear" w:fill="FFFFFF"/>
        </w:rPr>
        <w:t>3.政府信息管理。</w:t>
      </w:r>
      <w:r>
        <w:rPr>
          <w:rFonts w:hint="eastAsia" w:ascii="仿宋_GB2312" w:hAnsi="仿宋_GB2312" w:eastAsia="仿宋_GB2312" w:cs="仿宋_GB2312"/>
          <w:b w:val="0"/>
          <w:bCs w:val="0"/>
          <w:i w:val="0"/>
          <w:iCs w:val="0"/>
          <w:caps w:val="0"/>
          <w:color w:val="333333"/>
          <w:spacing w:val="0"/>
          <w:sz w:val="32"/>
          <w:szCs w:val="32"/>
          <w:shd w:val="clear" w:fill="FFFFFF"/>
        </w:rPr>
        <w:t>进一步完善政府信息公开审核机制，构建起从信息起草、审核、审查到发布的全流程管理体系。明确各环节责任分工，按照科室起草、科长审核、办公室和法规科审查、分管领导审定的程序，从合法性、合规性、保密性、时效性等多个维度对公开信息进行严格把关，确保公开信息内容准确、规范、安全。</w:t>
      </w:r>
    </w:p>
    <w:p w14:paraId="2955A2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楷体_GB2312" w:hAnsi="楷体_GB2312" w:eastAsia="楷体_GB2312" w:cs="楷体_GB2312"/>
          <w:b w:val="0"/>
          <w:bCs w:val="0"/>
          <w:i w:val="0"/>
          <w:iCs w:val="0"/>
          <w:caps w:val="0"/>
          <w:color w:val="333333"/>
          <w:spacing w:val="0"/>
          <w:sz w:val="32"/>
          <w:szCs w:val="32"/>
          <w:shd w:val="clear" w:fill="FFFFFF"/>
        </w:rPr>
        <w:t>4.政府信息公开平台建设。</w:t>
      </w:r>
      <w:r>
        <w:rPr>
          <w:rFonts w:hint="eastAsia" w:ascii="仿宋_GB2312" w:hAnsi="仿宋_GB2312" w:eastAsia="仿宋_GB2312" w:cs="仿宋_GB2312"/>
          <w:b w:val="0"/>
          <w:bCs w:val="0"/>
          <w:i w:val="0"/>
          <w:iCs w:val="0"/>
          <w:caps w:val="0"/>
          <w:color w:val="333333"/>
          <w:spacing w:val="0"/>
          <w:sz w:val="32"/>
          <w:szCs w:val="32"/>
          <w:shd w:val="clear" w:fill="FFFFFF"/>
        </w:rPr>
        <w:t>坚持把</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台儿庄政府门户网站</w:t>
      </w:r>
      <w:r>
        <w:rPr>
          <w:rFonts w:hint="eastAsia" w:ascii="仿宋_GB2312" w:hAnsi="仿宋_GB2312" w:eastAsia="仿宋_GB2312" w:cs="仿宋_GB2312"/>
          <w:b w:val="0"/>
          <w:bCs w:val="0"/>
          <w:i w:val="0"/>
          <w:iCs w:val="0"/>
          <w:caps w:val="0"/>
          <w:color w:val="333333"/>
          <w:spacing w:val="0"/>
          <w:sz w:val="32"/>
          <w:szCs w:val="32"/>
          <w:shd w:val="clear" w:fill="FFFFFF"/>
        </w:rPr>
        <w:t>作为政府信息公开的主阵地，不断优化网站功能布局，提升用户体验。加强网站内容建设，丰富信息展示形式，集中展示重点领域信息，方便公众查询。加强平台日常维护和管理，确保平台安全稳定运行，及时处理公众反馈的问题和建议，不断提升平台服务水平。</w:t>
      </w:r>
    </w:p>
    <w:p w14:paraId="58A519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楷体_GB2312" w:hAnsi="楷体_GB2312" w:eastAsia="楷体_GB2312" w:cs="楷体_GB2312"/>
          <w:b w:val="0"/>
          <w:bCs w:val="0"/>
          <w:i w:val="0"/>
          <w:iCs w:val="0"/>
          <w:caps w:val="0"/>
          <w:color w:val="333333"/>
          <w:spacing w:val="0"/>
          <w:sz w:val="32"/>
          <w:szCs w:val="32"/>
          <w:shd w:val="clear" w:fill="FFFFFF"/>
        </w:rPr>
        <w:t>5.监督保障。</w:t>
      </w:r>
      <w:r>
        <w:rPr>
          <w:rFonts w:hint="eastAsia" w:ascii="仿宋_GB2312" w:hAnsi="仿宋_GB2312" w:eastAsia="仿宋_GB2312" w:cs="仿宋_GB2312"/>
          <w:b w:val="0"/>
          <w:bCs w:val="0"/>
          <w:i w:val="0"/>
          <w:iCs w:val="0"/>
          <w:caps w:val="0"/>
          <w:color w:val="333333"/>
          <w:spacing w:val="0"/>
          <w:sz w:val="32"/>
          <w:szCs w:val="32"/>
          <w:shd w:val="clear" w:fill="FFFFFF"/>
        </w:rPr>
        <w:t>着力强化政府信息公开监督保障，构建起内部自查与外部监督相结合的严密体系，并合理配备专职人员。同时，开展专题培训、实战演练、案例研讨等多元活动，全面提升工作人员业务素养与操作能力，有力推动信息公开工作规范、高效开展，提升政务透明度。</w:t>
      </w:r>
    </w:p>
    <w:p w14:paraId="73CD11B4">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8</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6.0645</w:t>
            </w:r>
          </w:p>
        </w:tc>
      </w:tr>
    </w:tbl>
    <w:p w14:paraId="20FD6C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4"/>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szCs w:val="21"/>
              </w:rPr>
            </w:pPr>
            <w:r>
              <w:rPr>
                <w:rFonts w:hint="eastAsia" w:ascii="黑体" w:hAnsi="黑体" w:eastAsia="黑体"/>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szCs w:val="21"/>
              </w:rPr>
            </w:pPr>
          </w:p>
        </w:tc>
        <w:tc>
          <w:tcPr>
            <w:tcW w:w="540" w:type="dxa"/>
            <w:shd w:val="clear" w:color="auto" w:fill="auto"/>
            <w:tcMar>
              <w:left w:w="108" w:type="dxa"/>
              <w:right w:w="108" w:type="dxa"/>
            </w:tcMar>
            <w:vAlign w:val="center"/>
          </w:tcPr>
          <w:p w14:paraId="426D161B">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14:paraId="7A3A6752">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15</w:t>
            </w:r>
          </w:p>
        </w:tc>
        <w:tc>
          <w:tcPr>
            <w:tcW w:w="540" w:type="dxa"/>
            <w:shd w:val="clear" w:color="auto" w:fill="auto"/>
            <w:tcMar>
              <w:left w:w="108" w:type="dxa"/>
              <w:right w:w="108" w:type="dxa"/>
            </w:tcMar>
            <w:vAlign w:val="center"/>
          </w:tcPr>
          <w:p w14:paraId="22FC440C">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EB7936A">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7175B54E">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675" w:type="dxa"/>
            <w:shd w:val="clear" w:color="auto" w:fill="auto"/>
            <w:tcMar>
              <w:left w:w="108" w:type="dxa"/>
              <w:right w:w="108" w:type="dxa"/>
            </w:tcMar>
            <w:vAlign w:val="center"/>
          </w:tcPr>
          <w:p w14:paraId="637B979B">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633A8B3F">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060F45D4">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17</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CCDF5A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3A724B6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43C30481">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D6EC30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32984CF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15</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9C27CE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3A066E8C">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17</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szCs w:val="21"/>
              </w:rPr>
            </w:pPr>
          </w:p>
        </w:tc>
        <w:tc>
          <w:tcPr>
            <w:tcW w:w="4677" w:type="dxa"/>
            <w:gridSpan w:val="2"/>
            <w:shd w:val="clear" w:color="auto" w:fill="auto"/>
            <w:tcMar>
              <w:left w:w="108" w:type="dxa"/>
              <w:right w:w="108" w:type="dxa"/>
            </w:tcMar>
            <w:vAlign w:val="center"/>
          </w:tcPr>
          <w:p w14:paraId="0B4B7D1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293BE0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szCs w:val="21"/>
              </w:rPr>
            </w:pPr>
          </w:p>
        </w:tc>
        <w:tc>
          <w:tcPr>
            <w:tcW w:w="1701" w:type="dxa"/>
            <w:vMerge w:val="restart"/>
            <w:shd w:val="clear" w:color="auto" w:fill="auto"/>
            <w:tcMar>
              <w:left w:w="108" w:type="dxa"/>
              <w:right w:w="108" w:type="dxa"/>
            </w:tcMar>
            <w:vAlign w:val="center"/>
          </w:tcPr>
          <w:p w14:paraId="73FB48F8">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6663FA0">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szCs w:val="21"/>
              </w:rPr>
            </w:pPr>
          </w:p>
        </w:tc>
        <w:tc>
          <w:tcPr>
            <w:tcW w:w="1701" w:type="dxa"/>
            <w:vMerge w:val="continue"/>
            <w:shd w:val="clear" w:color="auto" w:fill="auto"/>
            <w:tcMar>
              <w:left w:w="108" w:type="dxa"/>
              <w:right w:w="108" w:type="dxa"/>
            </w:tcMar>
            <w:vAlign w:val="center"/>
          </w:tcPr>
          <w:p w14:paraId="4CFC694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AB6080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szCs w:val="21"/>
              </w:rPr>
            </w:pPr>
          </w:p>
        </w:tc>
        <w:tc>
          <w:tcPr>
            <w:tcW w:w="1701" w:type="dxa"/>
            <w:vMerge w:val="continue"/>
            <w:shd w:val="clear" w:color="auto" w:fill="auto"/>
            <w:tcMar>
              <w:left w:w="108" w:type="dxa"/>
              <w:right w:w="108" w:type="dxa"/>
            </w:tcMar>
            <w:vAlign w:val="center"/>
          </w:tcPr>
          <w:p w14:paraId="35E8E4B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087E29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szCs w:val="21"/>
              </w:rPr>
            </w:pPr>
          </w:p>
        </w:tc>
        <w:tc>
          <w:tcPr>
            <w:tcW w:w="1701" w:type="dxa"/>
            <w:vMerge w:val="continue"/>
            <w:shd w:val="clear" w:color="auto" w:fill="auto"/>
            <w:tcMar>
              <w:left w:w="108" w:type="dxa"/>
              <w:right w:w="108" w:type="dxa"/>
            </w:tcMar>
            <w:vAlign w:val="center"/>
          </w:tcPr>
          <w:p w14:paraId="0A7C70A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9838D1A">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szCs w:val="21"/>
              </w:rPr>
            </w:pPr>
          </w:p>
        </w:tc>
        <w:tc>
          <w:tcPr>
            <w:tcW w:w="1701" w:type="dxa"/>
            <w:vMerge w:val="continue"/>
            <w:shd w:val="clear" w:color="auto" w:fill="auto"/>
            <w:tcMar>
              <w:left w:w="108" w:type="dxa"/>
              <w:right w:w="108" w:type="dxa"/>
            </w:tcMar>
            <w:vAlign w:val="center"/>
          </w:tcPr>
          <w:p w14:paraId="2E92121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2C3C094">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FC0AD1">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szCs w:val="21"/>
              </w:rPr>
            </w:pPr>
          </w:p>
        </w:tc>
        <w:tc>
          <w:tcPr>
            <w:tcW w:w="1701" w:type="dxa"/>
            <w:vMerge w:val="continue"/>
            <w:shd w:val="clear" w:color="auto" w:fill="auto"/>
            <w:tcMar>
              <w:left w:w="108" w:type="dxa"/>
              <w:right w:w="108" w:type="dxa"/>
            </w:tcMar>
            <w:vAlign w:val="center"/>
          </w:tcPr>
          <w:p w14:paraId="06B97E8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AE7336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582C8F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szCs w:val="21"/>
              </w:rPr>
            </w:pPr>
          </w:p>
        </w:tc>
        <w:tc>
          <w:tcPr>
            <w:tcW w:w="1701" w:type="dxa"/>
            <w:vMerge w:val="continue"/>
            <w:shd w:val="clear" w:color="auto" w:fill="auto"/>
            <w:tcMar>
              <w:left w:w="108" w:type="dxa"/>
              <w:right w:w="108" w:type="dxa"/>
            </w:tcMar>
            <w:vAlign w:val="center"/>
          </w:tcPr>
          <w:p w14:paraId="5E25D43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501163">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szCs w:val="21"/>
              </w:rPr>
            </w:pPr>
          </w:p>
        </w:tc>
        <w:tc>
          <w:tcPr>
            <w:tcW w:w="1701" w:type="dxa"/>
            <w:vMerge w:val="continue"/>
            <w:shd w:val="clear" w:color="auto" w:fill="auto"/>
            <w:tcMar>
              <w:left w:w="108" w:type="dxa"/>
              <w:right w:w="108" w:type="dxa"/>
            </w:tcMar>
            <w:vAlign w:val="center"/>
          </w:tcPr>
          <w:p w14:paraId="5F9EE04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2A580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szCs w:val="21"/>
              </w:rPr>
            </w:pPr>
          </w:p>
        </w:tc>
        <w:tc>
          <w:tcPr>
            <w:tcW w:w="1701" w:type="dxa"/>
            <w:vMerge w:val="restart"/>
            <w:shd w:val="clear" w:color="auto" w:fill="auto"/>
            <w:tcMar>
              <w:left w:w="108" w:type="dxa"/>
              <w:right w:w="108" w:type="dxa"/>
            </w:tcMar>
            <w:vAlign w:val="center"/>
          </w:tcPr>
          <w:p w14:paraId="0F47F490">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0D0E83">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BC22BA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0DF1DB4">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szCs w:val="21"/>
              </w:rPr>
            </w:pPr>
          </w:p>
        </w:tc>
        <w:tc>
          <w:tcPr>
            <w:tcW w:w="1701" w:type="dxa"/>
            <w:vMerge w:val="continue"/>
            <w:shd w:val="clear" w:color="auto" w:fill="auto"/>
            <w:tcMar>
              <w:left w:w="108" w:type="dxa"/>
              <w:right w:w="108" w:type="dxa"/>
            </w:tcMar>
            <w:vAlign w:val="center"/>
          </w:tcPr>
          <w:p w14:paraId="6BB3A0A8">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3191C69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2A19C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szCs w:val="21"/>
              </w:rPr>
            </w:pPr>
          </w:p>
        </w:tc>
        <w:tc>
          <w:tcPr>
            <w:tcW w:w="1701" w:type="dxa"/>
            <w:vMerge w:val="continue"/>
            <w:shd w:val="clear" w:color="auto" w:fill="auto"/>
            <w:tcMar>
              <w:left w:w="108" w:type="dxa"/>
              <w:right w:w="108" w:type="dxa"/>
            </w:tcMar>
            <w:vAlign w:val="center"/>
          </w:tcPr>
          <w:p w14:paraId="470165DA">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2B77E1B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szCs w:val="21"/>
              </w:rPr>
            </w:pPr>
          </w:p>
        </w:tc>
        <w:tc>
          <w:tcPr>
            <w:tcW w:w="1701" w:type="dxa"/>
            <w:vMerge w:val="restart"/>
            <w:shd w:val="clear" w:color="auto" w:fill="auto"/>
            <w:tcMar>
              <w:left w:w="108" w:type="dxa"/>
              <w:right w:w="108" w:type="dxa"/>
            </w:tcMar>
            <w:vAlign w:val="center"/>
          </w:tcPr>
          <w:p w14:paraId="3D4C128B">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738EF42A">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szCs w:val="21"/>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BD8AD0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szCs w:val="21"/>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BD9A9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szCs w:val="21"/>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CAA27F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szCs w:val="21"/>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27143C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szCs w:val="21"/>
              </w:rPr>
            </w:pPr>
          </w:p>
        </w:tc>
        <w:tc>
          <w:tcPr>
            <w:tcW w:w="1701" w:type="dxa"/>
            <w:vMerge w:val="restart"/>
            <w:shd w:val="clear" w:color="auto" w:fill="auto"/>
            <w:tcMar>
              <w:left w:w="108" w:type="dxa"/>
              <w:right w:w="108" w:type="dxa"/>
            </w:tcMar>
            <w:vAlign w:val="center"/>
          </w:tcPr>
          <w:p w14:paraId="534DC083">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786BAE4">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szCs w:val="21"/>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kern w:val="0"/>
                <w:szCs w:val="21"/>
              </w:rPr>
            </w:pPr>
          </w:p>
        </w:tc>
        <w:tc>
          <w:tcPr>
            <w:tcW w:w="2976" w:type="dxa"/>
            <w:shd w:val="clear" w:color="auto" w:fill="auto"/>
            <w:vAlign w:val="center"/>
          </w:tcPr>
          <w:p w14:paraId="6E424221">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rPr>
                <w:rFonts w:ascii="黑体" w:hAnsi="黑体" w:eastAsia="黑体"/>
                <w:szCs w:val="21"/>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kern w:val="0"/>
                <w:szCs w:val="21"/>
              </w:rPr>
            </w:pPr>
          </w:p>
        </w:tc>
        <w:tc>
          <w:tcPr>
            <w:tcW w:w="2976" w:type="dxa"/>
            <w:shd w:val="clear" w:color="auto" w:fill="auto"/>
            <w:vAlign w:val="center"/>
          </w:tcPr>
          <w:p w14:paraId="17ECD16F">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14:paraId="269D00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szCs w:val="21"/>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15</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4D91D2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2992A8F">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17</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14:paraId="55BE11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14:paraId="30A60405">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14:paraId="72B1D870">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14:paraId="076E4088">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14:paraId="24DBF162">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14:paraId="6D1FBE5B">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0D641DF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bCs/>
          <w:color w:val="000000" w:themeColor="text1"/>
          <w:sz w:val="32"/>
          <w:szCs w:val="32"/>
          <w:shd w:val="clear" w:color="auto" w:fill="FFFFFF"/>
          <w:lang w:bidi="ar"/>
          <w14:textFill>
            <w14:solidFill>
              <w14:schemeClr w14:val="tx1"/>
            </w14:solidFill>
          </w14:textFill>
        </w:rPr>
      </w:pPr>
      <w:r>
        <w:rPr>
          <w:rFonts w:hint="eastAsia" w:ascii="黑体" w:hAnsi="黑体" w:eastAsia="黑体" w:cs="黑体"/>
          <w:bCs/>
          <w:color w:val="000000" w:themeColor="text1"/>
          <w:sz w:val="32"/>
          <w:szCs w:val="32"/>
          <w:shd w:val="clear" w:color="auto" w:fill="FFFFFF"/>
          <w:lang w:bidi="ar"/>
          <w14:textFill>
            <w14:solidFill>
              <w14:schemeClr w14:val="tx1"/>
            </w14:solidFill>
          </w14:textFill>
        </w:rPr>
        <w:t>五、存在的主要问题及改进情况</w:t>
      </w:r>
    </w:p>
    <w:p w14:paraId="020364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(一)存在的主要问题</w:t>
      </w:r>
    </w:p>
    <w:p w14:paraId="3996E2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2025年，</w:t>
      </w:r>
      <w:r>
        <w:rPr>
          <w:rFonts w:hint="eastAsia" w:ascii="仿宋_GB2312" w:hAnsi="仿宋_GB2312" w:eastAsia="仿宋_GB2312" w:cs="仿宋_GB2312"/>
          <w:i w:val="0"/>
          <w:iCs w:val="0"/>
          <w:caps w:val="0"/>
          <w:color w:val="000000"/>
          <w:spacing w:val="0"/>
          <w:sz w:val="32"/>
          <w:szCs w:val="32"/>
          <w:shd w:val="clear" w:fill="FFFFFF"/>
          <w:lang w:val="en-US" w:eastAsia="zh-CN"/>
        </w:rPr>
        <w:t>台儿庄</w:t>
      </w:r>
      <w:r>
        <w:rPr>
          <w:rFonts w:hint="eastAsia" w:ascii="仿宋_GB2312" w:hAnsi="仿宋_GB2312" w:eastAsia="仿宋_GB2312" w:cs="仿宋_GB2312"/>
          <w:i w:val="0"/>
          <w:iCs w:val="0"/>
          <w:caps w:val="0"/>
          <w:color w:val="000000"/>
          <w:spacing w:val="0"/>
          <w:sz w:val="32"/>
          <w:szCs w:val="32"/>
          <w:shd w:val="clear" w:fill="FFFFFF"/>
        </w:rPr>
        <w:t>区自然资源局在推进政府信息公开各项工作虽然取得了一定成效，但仍存在一些问题需要不断改进。政策解读的深度和广度有待加强。部分解读材料形式较为单一，与群众生活的结合不够紧密，解读的“接地气”程度有待提升；主动公开信息质量及效率还有提升的空间；依申请政府信息公开需要在保证公开质量上提高释明力度，将矛盾化解在基层最末端。</w:t>
      </w:r>
    </w:p>
    <w:p w14:paraId="7E762C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(二)改进措施</w:t>
      </w:r>
    </w:p>
    <w:p w14:paraId="192659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是以提质为核心优化信息公开工作。深耕内容深化环节，动态更新公开信息，突出重点领域公开实效，持续夯实政府公信力与执行力。二是抓实媒介宣传管理工作。对政府网站和政务公开运行状态开展常态化检查，切实发挥联动协作的聚合效应。积极运用群众喜闻乐见的方式开展政策解读，推动政策传播从“大水漫灌”向“精准滴灌”转变，提升政策传播的精准度和有效性。三是加强政务公开工作队伍建设。对依申请政府信息公开有疑惑的，</w:t>
      </w:r>
      <w:r>
        <w:rPr>
          <w:rFonts w:hint="eastAsia" w:ascii="仿宋_GB2312" w:hAnsi="仿宋_GB2312" w:eastAsia="仿宋_GB2312" w:cs="仿宋_GB2312"/>
          <w:i w:val="0"/>
          <w:iCs w:val="0"/>
          <w:caps w:val="0"/>
          <w:color w:val="000000"/>
          <w:spacing w:val="0"/>
          <w:sz w:val="32"/>
          <w:szCs w:val="32"/>
        </w:rPr>
        <w:t>采取业务科室当面解读的办法，为申请人释疑解惑，降低后续行政争议的发生率。</w:t>
      </w:r>
    </w:p>
    <w:p w14:paraId="448A00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333333"/>
          <w:spacing w:val="0"/>
          <w:sz w:val="32"/>
          <w:szCs w:val="32"/>
          <w:shd w:val="clear" w:fill="FFFFFF"/>
        </w:rPr>
        <w:t>六、其他需要报告的事项</w:t>
      </w:r>
    </w:p>
    <w:p w14:paraId="6E6189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（一）收取信息处理费情况</w:t>
      </w:r>
    </w:p>
    <w:p w14:paraId="432D20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自然资源局</w:t>
      </w:r>
      <w:r>
        <w:rPr>
          <w:rFonts w:hint="eastAsia" w:ascii="仿宋_GB2312" w:hAnsi="仿宋_GB2312" w:eastAsia="仿宋_GB2312" w:cs="仿宋_GB2312"/>
          <w:color w:val="000000" w:themeColor="text1"/>
          <w:sz w:val="32"/>
          <w:szCs w:val="32"/>
          <w14:textFill>
            <w14:solidFill>
              <w14:schemeClr w14:val="tx1"/>
            </w14:solidFill>
          </w14:textFill>
        </w:rPr>
        <w:t>不存在因信息处理收取相关费用的情况。</w:t>
      </w:r>
    </w:p>
    <w:p w14:paraId="05D6F5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（二）落实上级年度政务公开工作要点情况</w:t>
      </w:r>
    </w:p>
    <w:p w14:paraId="228C28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区自然资源局认真对照上级要求</w:t>
      </w:r>
      <w:r>
        <w:rPr>
          <w:rFonts w:hint="eastAsia" w:ascii="仿宋_GB2312" w:hAnsi="仿宋_GB2312" w:eastAsia="仿宋_GB2312" w:cs="仿宋_GB2312"/>
          <w:color w:val="000000" w:themeColor="text1"/>
          <w:sz w:val="32"/>
          <w:szCs w:val="32"/>
          <w14:textFill>
            <w14:solidFill>
              <w14:schemeClr w14:val="tx1"/>
            </w14:solidFill>
          </w14:textFill>
        </w:rPr>
        <w:t>，突出自然资源领域业务特点，深化政民互动，及时公开土地征收等政府信息，保障了人民群众的知情权，增强了人民群众获得感和认同感。</w:t>
      </w:r>
    </w:p>
    <w:p w14:paraId="7674EC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（三）人大代表建议和政协提案办理结果公开情况</w:t>
      </w:r>
    </w:p>
    <w:p w14:paraId="253E75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通过做好职责分工、完善工作机制，切实保障提案建议按时答复。2025年度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区自然资源局</w:t>
      </w:r>
      <w:r>
        <w:rPr>
          <w:rFonts w:hint="eastAsia" w:ascii="仿宋_GB2312" w:hAnsi="仿宋_GB2312" w:eastAsia="仿宋_GB2312" w:cs="仿宋_GB2312"/>
          <w:color w:val="000000" w:themeColor="text1"/>
          <w:sz w:val="32"/>
          <w:szCs w:val="32"/>
          <w14:textFill>
            <w14:solidFill>
              <w14:schemeClr w14:val="tx1"/>
            </w14:solidFill>
          </w14:textFill>
        </w:rPr>
        <w:t>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承办人大</w:t>
      </w:r>
      <w:r>
        <w:rPr>
          <w:rFonts w:hint="eastAsia" w:ascii="仿宋_GB2312" w:hAnsi="仿宋_GB2312" w:eastAsia="仿宋_GB2312" w:cs="仿宋_GB2312"/>
          <w:color w:val="000000" w:themeColor="text1"/>
          <w:sz w:val="32"/>
          <w:szCs w:val="32"/>
          <w14:textFill>
            <w14:solidFill>
              <w14:schemeClr w14:val="tx1"/>
            </w14:solidFill>
          </w14:textFill>
        </w:rPr>
        <w:t>建议2件，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政协</w:t>
      </w:r>
      <w:r>
        <w:rPr>
          <w:rFonts w:hint="eastAsia" w:ascii="仿宋_GB2312" w:hAnsi="仿宋_GB2312" w:eastAsia="仿宋_GB2312" w:cs="仿宋_GB2312"/>
          <w:color w:val="000000" w:themeColor="text1"/>
          <w:sz w:val="32"/>
          <w:szCs w:val="32"/>
          <w14:textFill>
            <w14:solidFill>
              <w14:schemeClr w14:val="tx1"/>
            </w14:solidFill>
          </w14:textFill>
        </w:rPr>
        <w:t>提案2件。并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答复结果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在区政府网站进行主动公开</w:t>
      </w:r>
      <w:r>
        <w:rPr>
          <w:rFonts w:hint="eastAsia" w:ascii="仿宋_GB2312" w:hAnsi="仿宋_GB2312" w:eastAsia="仿宋_GB2312" w:cs="仿宋_GB2312"/>
          <w:color w:val="000000" w:themeColor="text1"/>
          <w:sz w:val="32"/>
          <w:szCs w:val="32"/>
          <w14:textFill>
            <w14:solidFill>
              <w14:schemeClr w14:val="tx1"/>
            </w14:solidFill>
          </w14:textFill>
        </w:rPr>
        <w:t>。</w:t>
      </w:r>
    </w:p>
    <w:p w14:paraId="68202A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（四）政务公开工作创新情况</w:t>
      </w:r>
    </w:p>
    <w:p w14:paraId="27A049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突出高频事项精准公开，聚焦不动产登记、征地补偿等群众关切的事项进行主动公开，建立标准化公开目录，明确责任主体与公开时限。</w:t>
      </w:r>
    </w:p>
    <w:p w14:paraId="4B3281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（五）本行政机关政府信息公开工作年度报告数据统计需要说明的事项</w:t>
      </w:r>
    </w:p>
    <w:p w14:paraId="3430C5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报告中所列数据的统计期限自</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年1月1日起至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年12月31日止。</w:t>
      </w:r>
    </w:p>
    <w:p w14:paraId="5E0547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（六）本行政机关认为需要报告的其他事项</w:t>
      </w:r>
    </w:p>
    <w:p w14:paraId="44C374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29EB84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（七）其他有关文件专门要求通过政府信息公开工作年度报告予以报告的事项</w:t>
      </w:r>
    </w:p>
    <w:p w14:paraId="3F3F31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1EC92551">
      <w:pPr>
        <w:spacing w:line="560" w:lineRule="exact"/>
        <w:ind w:firstLine="640"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E0F3230">
      <w:pPr>
        <w:spacing w:line="560" w:lineRule="exact"/>
        <w:ind w:firstLine="640"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台儿庄区自然资源局</w:t>
      </w:r>
    </w:p>
    <w:p w14:paraId="67C17AB4">
      <w:pPr>
        <w:bidi w:val="0"/>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2026年1月30</w:t>
      </w:r>
      <w:bookmarkStart w:id="10" w:name="_GoBack"/>
      <w:bookmarkEnd w:id="1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A62BAF-696B-4E9E-9361-90BFD5084A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F040A5-07CE-47C4-89A4-EADEE08289E6}"/>
  </w:font>
  <w:font w:name="方正小标宋简体">
    <w:panose1 w:val="02000000000000000000"/>
    <w:charset w:val="86"/>
    <w:family w:val="auto"/>
    <w:pitch w:val="default"/>
    <w:sig w:usb0="00000001" w:usb1="08000000" w:usb2="00000000" w:usb3="00000000" w:csb0="00040000" w:csb1="00000000"/>
    <w:embedRegular r:id="rId3" w:fontKey="{D3FE3D25-7A0C-4826-84EE-96FC4B82ABEF}"/>
  </w:font>
  <w:font w:name="仿宋_GB2312">
    <w:panose1 w:val="02010609030101010101"/>
    <w:charset w:val="86"/>
    <w:family w:val="modern"/>
    <w:pitch w:val="default"/>
    <w:sig w:usb0="00000001" w:usb1="080E0000" w:usb2="00000000" w:usb3="00000000" w:csb0="00040000" w:csb1="00000000"/>
    <w:embedRegular r:id="rId4" w:fontKey="{2DC070EC-DF12-439C-A3FE-27251CDC3486}"/>
  </w:font>
  <w:font w:name="楷体_GB2312">
    <w:panose1 w:val="02010609030101010101"/>
    <w:charset w:val="86"/>
    <w:family w:val="modern"/>
    <w:pitch w:val="default"/>
    <w:sig w:usb0="00000001" w:usb1="080E0000" w:usb2="00000000" w:usb3="00000000" w:csb0="00040000" w:csb1="00000000"/>
    <w:embedRegular r:id="rId5" w:fontKey="{D85BFB70-D63D-4163-88AD-B008F0C64525}"/>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6" w:fontKey="{0193323E-52F2-4594-B064-DB70BBA6C3F6}"/>
  </w:font>
  <w:font w:name="sans-serif">
    <w:altName w:val="Segoe Print"/>
    <w:panose1 w:val="00000000000000000000"/>
    <w:charset w:val="00"/>
    <w:family w:val="auto"/>
    <w:pitch w:val="default"/>
    <w:sig w:usb0="00000000" w:usb1="00000000" w:usb2="00000000" w:usb3="00000000" w:csb0="00000000" w:csb1="00000000"/>
    <w:embedRegular r:id="rId7" w:fontKey="{60D78E1F-6F83-46D3-A945-954C8E509B85}"/>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E639E"/>
    <w:rsid w:val="02A77528"/>
    <w:rsid w:val="0D3E639E"/>
    <w:rsid w:val="10E365C2"/>
    <w:rsid w:val="3D272417"/>
    <w:rsid w:val="3F0D1313"/>
    <w:rsid w:val="5C703A08"/>
    <w:rsid w:val="63533077"/>
    <w:rsid w:val="6EAC56E8"/>
    <w:rsid w:val="7CAC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依申请公开答复情况</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Pt>
            <c:idx val="4"/>
            <c:bubble3D val="0"/>
            <c:spPr>
              <a:solidFill>
                <a:schemeClr val="accent5"/>
              </a:solidFill>
              <a:ln>
                <a:solidFill>
                  <a:schemeClr val="bg1"/>
                </a:solidFill>
              </a:ln>
              <a:effectLst/>
              <a:scene3d>
                <a:camera prst="orthographicFront"/>
                <a:lightRig rig="threePt" dir="t"/>
              </a:scene3d>
              <a:sp3d contourW="9525"/>
            </c:spPr>
          </c:dPt>
          <c:dLbls>
            <c:delete val="1"/>
          </c:dLbls>
          <c:cat>
            <c:strRef>
              <c:f>Sheet1!$A$2:$A$6</c:f>
              <c:strCache>
                <c:ptCount val="5"/>
                <c:pt idx="0">
                  <c:v>予以公开</c:v>
                </c:pt>
                <c:pt idx="1">
                  <c:v>部分公开</c:v>
                </c:pt>
                <c:pt idx="2">
                  <c:v>不予公开</c:v>
                </c:pt>
                <c:pt idx="3">
                  <c:v>重复来件</c:v>
                </c:pt>
                <c:pt idx="4">
                  <c:v>无法提供</c:v>
                </c:pt>
              </c:strCache>
            </c:strRef>
          </c:cat>
          <c:val>
            <c:numRef>
              <c:f>Sheet1!$B$2:$B$6</c:f>
              <c:numCache>
                <c:formatCode>General</c:formatCode>
                <c:ptCount val="5"/>
                <c:pt idx="0">
                  <c:v>20</c:v>
                </c:pt>
                <c:pt idx="1">
                  <c:v>0</c:v>
                </c:pt>
                <c:pt idx="2">
                  <c:v>0</c:v>
                </c:pt>
                <c:pt idx="3">
                  <c:v>1</c:v>
                </c:pt>
                <c:pt idx="4">
                  <c:v>0</c:v>
                </c:pt>
              </c:numCache>
            </c:numRef>
          </c:val>
        </c:ser>
        <c:dLbls>
          <c:showLegendKey val="0"/>
          <c:showVal val="0"/>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996201-0ae9-44ea-9ea7-e2aa360220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2815</Words>
  <Characters>2954</Characters>
  <Lines>0</Lines>
  <Paragraphs>0</Paragraphs>
  <TotalTime>10</TotalTime>
  <ScaleCrop>false</ScaleCrop>
  <LinksUpToDate>false</LinksUpToDate>
  <CharactersWithSpaces>2954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2026-01-28T04:31:00Z</dcterms:created>
  <dc:creator>1</dc:creator>
  <cp:lastModifiedBy>李舒月</cp:lastModifiedBy>
  <dcterms:modified xsi:type="dcterms:W3CDTF">2026-01-30T07:38:51Z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E4487B410DE3465FAB460C0F7F8F6045_13</vt:lpwstr>
  </property>
  <property fmtid="{D5CDD505-2E9C-101B-9397-08002B2CF9AE}" pid="4" name="KSOTemplateDocerSaveRecord">
    <vt:lpwstr>eyJoZGlkIjoiMjA5YzU0YWI5NWNiMThkYjBmZTRiN2MzZTc1YWYxY2QiLCJ1c2VySWQiOiIxNzY4Mzc4MTMxIn0=</vt:lpwstr>
  </property>
</Properties>
</file>