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BA416">
      <w:pPr>
        <w:pStyle w:val="1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Cs/>
          <w:color w:val="auto"/>
          <w:spacing w:val="0"/>
          <w:sz w:val="44"/>
          <w:szCs w:val="44"/>
          <w:shd w:val="clear" w:color="auto" w:fill="FFFFFF"/>
          <w:lang w:val="en-US" w:eastAsia="zh-CN"/>
        </w:rPr>
      </w:pPr>
      <w:r>
        <w:rPr>
          <w:rFonts w:hint="eastAsia" w:ascii="方正小标宋简体" w:hAnsi="方正小标宋简体" w:eastAsia="方正小标宋简体" w:cs="方正小标宋简体"/>
          <w:bCs/>
          <w:color w:val="auto"/>
          <w:spacing w:val="0"/>
          <w:sz w:val="44"/>
          <w:szCs w:val="44"/>
          <w:shd w:val="clear" w:color="auto" w:fill="FFFFFF"/>
          <w:lang w:val="en-US" w:eastAsia="zh-CN"/>
        </w:rPr>
        <w:t>台儿庄区退役军人事务局</w:t>
      </w:r>
    </w:p>
    <w:p w14:paraId="049563CA">
      <w:pPr>
        <w:pStyle w:val="1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cs="方正小标宋简体"/>
          <w:bCs/>
          <w:color w:val="auto"/>
          <w:spacing w:val="0"/>
          <w:sz w:val="44"/>
          <w:szCs w:val="44"/>
        </w:rPr>
      </w:pPr>
      <w:r>
        <w:rPr>
          <w:rFonts w:hint="eastAsia" w:ascii="方正小标宋简体" w:hAnsi="方正小标宋简体" w:eastAsia="方正小标宋简体" w:cs="方正小标宋简体"/>
          <w:bCs/>
          <w:color w:val="auto"/>
          <w:spacing w:val="0"/>
          <w:sz w:val="44"/>
          <w:szCs w:val="44"/>
          <w:shd w:val="clear" w:color="auto" w:fill="FFFFFF"/>
        </w:rPr>
        <w:t>202</w:t>
      </w:r>
      <w:r>
        <w:rPr>
          <w:rFonts w:hint="eastAsia" w:ascii="方正小标宋简体" w:hAnsi="方正小标宋简体" w:eastAsia="方正小标宋简体" w:cs="方正小标宋简体"/>
          <w:bCs/>
          <w:color w:val="auto"/>
          <w:spacing w:val="0"/>
          <w:sz w:val="44"/>
          <w:szCs w:val="44"/>
          <w:shd w:val="clear" w:color="auto" w:fill="FFFFFF"/>
          <w:lang w:val="en-US" w:eastAsia="zh-CN"/>
        </w:rPr>
        <w:t>5</w:t>
      </w:r>
      <w:r>
        <w:rPr>
          <w:rFonts w:hint="eastAsia" w:ascii="方正小标宋简体" w:hAnsi="方正小标宋简体" w:eastAsia="方正小标宋简体" w:cs="方正小标宋简体"/>
          <w:bCs/>
          <w:color w:val="auto"/>
          <w:spacing w:val="0"/>
          <w:sz w:val="44"/>
          <w:szCs w:val="44"/>
          <w:shd w:val="clear" w:color="auto" w:fill="FFFFFF"/>
        </w:rPr>
        <w:t>年政府信息公开工作年度报告</w:t>
      </w:r>
    </w:p>
    <w:p w14:paraId="5DC49345">
      <w:pPr>
        <w:pStyle w:val="10"/>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cs="宋体"/>
          <w:color w:val="auto"/>
          <w:spacing w:val="0"/>
          <w:szCs w:val="24"/>
        </w:rPr>
      </w:pPr>
    </w:p>
    <w:p w14:paraId="3C3F0855">
      <w:pPr>
        <w:pStyle w:val="10"/>
        <w:keepNext w:val="0"/>
        <w:keepLines w:val="0"/>
        <w:pageBreakBefore w:val="0"/>
        <w:widowControl/>
        <w:shd w:val="clear" w:color="auto"/>
        <w:kinsoku/>
        <w:wordWrap w:val="0"/>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宋体" w:eastAsia="仿宋_GB2312" w:cs="仿宋_GB2312"/>
          <w:i w:val="0"/>
          <w:iCs w:val="0"/>
          <w:caps w:val="0"/>
          <w:color w:val="auto"/>
          <w:spacing w:val="0"/>
          <w:sz w:val="32"/>
          <w:szCs w:val="32"/>
          <w:shd w:val="clear" w:fill="FFFFFF"/>
        </w:rPr>
      </w:pPr>
      <w:r>
        <w:rPr>
          <w:rFonts w:hint="eastAsia" w:ascii="仿宋_GB2312" w:hAnsi="宋体" w:eastAsia="仿宋_GB2312" w:cs="仿宋_GB2312"/>
          <w:i w:val="0"/>
          <w:iCs w:val="0"/>
          <w:caps w:val="0"/>
          <w:color w:val="auto"/>
          <w:spacing w:val="0"/>
          <w:sz w:val="32"/>
          <w:szCs w:val="32"/>
          <w:shd w:val="clear" w:fill="FFFFFF"/>
        </w:rPr>
        <w:t>根据《中华人民共和国政府信息公开条例》（国务院令第711号）相关规定及《台儿庄区人民政府办公室关于做好202</w:t>
      </w:r>
      <w:r>
        <w:rPr>
          <w:rFonts w:hint="eastAsia" w:ascii="仿宋_GB2312" w:eastAsia="仿宋_GB2312" w:cs="仿宋_GB2312"/>
          <w:i w:val="0"/>
          <w:iCs w:val="0"/>
          <w:caps w:val="0"/>
          <w:color w:val="auto"/>
          <w:spacing w:val="0"/>
          <w:sz w:val="32"/>
          <w:szCs w:val="32"/>
          <w:shd w:val="clear" w:fill="FFFFFF"/>
          <w:lang w:val="en-US" w:eastAsia="zh-CN"/>
        </w:rPr>
        <w:t>5</w:t>
      </w:r>
      <w:r>
        <w:rPr>
          <w:rFonts w:hint="eastAsia" w:ascii="仿宋_GB2312" w:hAnsi="宋体" w:eastAsia="仿宋_GB2312" w:cs="仿宋_GB2312"/>
          <w:i w:val="0"/>
          <w:iCs w:val="0"/>
          <w:caps w:val="0"/>
          <w:color w:val="auto"/>
          <w:spacing w:val="0"/>
          <w:sz w:val="32"/>
          <w:szCs w:val="32"/>
          <w:shd w:val="clear" w:fill="FFFFFF"/>
        </w:rPr>
        <w:t>年政府信息公开工作年度报告编制和发布工作的通知》要求，现向社会公布台儿庄区</w:t>
      </w:r>
      <w:r>
        <w:rPr>
          <w:rFonts w:hint="eastAsia" w:ascii="仿宋_GB2312" w:eastAsia="仿宋_GB2312" w:cs="仿宋_GB2312"/>
          <w:i w:val="0"/>
          <w:iCs w:val="0"/>
          <w:caps w:val="0"/>
          <w:color w:val="auto"/>
          <w:spacing w:val="0"/>
          <w:sz w:val="32"/>
          <w:szCs w:val="32"/>
          <w:shd w:val="clear" w:fill="FFFFFF"/>
          <w:lang w:val="en-US" w:eastAsia="zh-CN"/>
        </w:rPr>
        <w:t>退役军人事务</w:t>
      </w:r>
      <w:r>
        <w:rPr>
          <w:rFonts w:hint="eastAsia" w:ascii="仿宋_GB2312" w:hAnsi="宋体" w:eastAsia="仿宋_GB2312" w:cs="仿宋_GB2312"/>
          <w:i w:val="0"/>
          <w:iCs w:val="0"/>
          <w:caps w:val="0"/>
          <w:color w:val="auto"/>
          <w:spacing w:val="0"/>
          <w:sz w:val="32"/>
          <w:szCs w:val="32"/>
          <w:shd w:val="clear" w:fill="FFFFFF"/>
        </w:rPr>
        <w:t>局202</w:t>
      </w:r>
      <w:r>
        <w:rPr>
          <w:rFonts w:hint="eastAsia" w:ascii="仿宋_GB2312" w:eastAsia="仿宋_GB2312" w:cs="仿宋_GB2312"/>
          <w:i w:val="0"/>
          <w:iCs w:val="0"/>
          <w:caps w:val="0"/>
          <w:color w:val="auto"/>
          <w:spacing w:val="0"/>
          <w:sz w:val="32"/>
          <w:szCs w:val="32"/>
          <w:shd w:val="clear" w:fill="FFFFFF"/>
          <w:lang w:val="en-US" w:eastAsia="zh-CN"/>
        </w:rPr>
        <w:t>5</w:t>
      </w:r>
      <w:r>
        <w:rPr>
          <w:rFonts w:hint="eastAsia" w:ascii="仿宋_GB2312" w:hAnsi="宋体" w:eastAsia="仿宋_GB2312" w:cs="仿宋_GB2312"/>
          <w:i w:val="0"/>
          <w:iCs w:val="0"/>
          <w:caps w:val="0"/>
          <w:color w:val="auto"/>
          <w:spacing w:val="0"/>
          <w:sz w:val="32"/>
          <w:szCs w:val="32"/>
          <w:shd w:val="clear" w:fill="FFFFFF"/>
        </w:rPr>
        <w:t>年度政府信息公开报告。本报告由总体情况、主动公开政府信息情况；收到和处理政府信息公开申请情况；政府信息公开行政复议、行政诉讼情况；存在的主要问题及改进情况；其他需要报告的事项等六个部分组成。报告中所列数据的统计期限自202</w:t>
      </w:r>
      <w:r>
        <w:rPr>
          <w:rFonts w:hint="eastAsia" w:ascii="仿宋_GB2312" w:eastAsia="仿宋_GB2312" w:cs="仿宋_GB2312"/>
          <w:i w:val="0"/>
          <w:iCs w:val="0"/>
          <w:caps w:val="0"/>
          <w:color w:val="auto"/>
          <w:spacing w:val="0"/>
          <w:sz w:val="32"/>
          <w:szCs w:val="32"/>
          <w:shd w:val="clear" w:fill="FFFFFF"/>
          <w:lang w:val="en-US" w:eastAsia="zh-CN"/>
        </w:rPr>
        <w:t>5</w:t>
      </w:r>
      <w:r>
        <w:rPr>
          <w:rFonts w:hint="eastAsia" w:ascii="仿宋_GB2312" w:hAnsi="宋体" w:eastAsia="仿宋_GB2312" w:cs="仿宋_GB2312"/>
          <w:i w:val="0"/>
          <w:iCs w:val="0"/>
          <w:caps w:val="0"/>
          <w:color w:val="auto"/>
          <w:spacing w:val="0"/>
          <w:sz w:val="32"/>
          <w:szCs w:val="32"/>
          <w:shd w:val="clear" w:fill="FFFFFF"/>
        </w:rPr>
        <w:t>年1月1日起至202</w:t>
      </w:r>
      <w:r>
        <w:rPr>
          <w:rFonts w:hint="eastAsia" w:ascii="仿宋_GB2312" w:eastAsia="仿宋_GB2312" w:cs="仿宋_GB2312"/>
          <w:i w:val="0"/>
          <w:iCs w:val="0"/>
          <w:caps w:val="0"/>
          <w:color w:val="auto"/>
          <w:spacing w:val="0"/>
          <w:sz w:val="32"/>
          <w:szCs w:val="32"/>
          <w:shd w:val="clear" w:fill="FFFFFF"/>
          <w:lang w:val="en-US" w:eastAsia="zh-CN"/>
        </w:rPr>
        <w:t>5</w:t>
      </w:r>
      <w:r>
        <w:rPr>
          <w:rFonts w:hint="eastAsia" w:ascii="仿宋_GB2312" w:hAnsi="宋体" w:eastAsia="仿宋_GB2312" w:cs="仿宋_GB2312"/>
          <w:i w:val="0"/>
          <w:iCs w:val="0"/>
          <w:caps w:val="0"/>
          <w:color w:val="auto"/>
          <w:spacing w:val="0"/>
          <w:sz w:val="32"/>
          <w:szCs w:val="32"/>
          <w:shd w:val="clear" w:fill="FFFFFF"/>
        </w:rPr>
        <w:t>年12月31日止。报告的电子版可在“台儿庄区政府门户网站”下载。如对报告有疑问，请与台儿庄区</w:t>
      </w:r>
      <w:r>
        <w:rPr>
          <w:rFonts w:hint="eastAsia" w:ascii="仿宋_GB2312" w:eastAsia="仿宋_GB2312" w:cs="仿宋_GB2312"/>
          <w:i w:val="0"/>
          <w:iCs w:val="0"/>
          <w:caps w:val="0"/>
          <w:color w:val="auto"/>
          <w:spacing w:val="0"/>
          <w:sz w:val="32"/>
          <w:szCs w:val="32"/>
          <w:shd w:val="clear" w:fill="FFFFFF"/>
          <w:lang w:val="en-US" w:eastAsia="zh-CN"/>
        </w:rPr>
        <w:t>退役军人事务</w:t>
      </w:r>
      <w:r>
        <w:rPr>
          <w:rFonts w:hint="eastAsia" w:ascii="仿宋_GB2312" w:hAnsi="宋体" w:eastAsia="仿宋_GB2312" w:cs="仿宋_GB2312"/>
          <w:i w:val="0"/>
          <w:iCs w:val="0"/>
          <w:caps w:val="0"/>
          <w:color w:val="auto"/>
          <w:spacing w:val="0"/>
          <w:sz w:val="32"/>
          <w:szCs w:val="32"/>
          <w:shd w:val="clear" w:fill="FFFFFF"/>
        </w:rPr>
        <w:t>局联系(地址:枣庄市台儿庄区</w:t>
      </w:r>
      <w:r>
        <w:rPr>
          <w:rFonts w:hint="eastAsia" w:ascii="仿宋_GB2312" w:eastAsia="仿宋_GB2312" w:cs="仿宋_GB2312"/>
          <w:i w:val="0"/>
          <w:iCs w:val="0"/>
          <w:caps w:val="0"/>
          <w:color w:val="auto"/>
          <w:spacing w:val="0"/>
          <w:sz w:val="32"/>
          <w:szCs w:val="32"/>
          <w:shd w:val="clear" w:fill="FFFFFF"/>
          <w:lang w:val="en-US" w:eastAsia="zh-CN"/>
        </w:rPr>
        <w:t>兴中</w:t>
      </w:r>
      <w:r>
        <w:rPr>
          <w:rFonts w:hint="eastAsia" w:ascii="仿宋_GB2312" w:hAnsi="宋体" w:eastAsia="仿宋_GB2312" w:cs="仿宋_GB2312"/>
          <w:i w:val="0"/>
          <w:iCs w:val="0"/>
          <w:caps w:val="0"/>
          <w:color w:val="auto"/>
          <w:spacing w:val="0"/>
          <w:sz w:val="32"/>
          <w:szCs w:val="32"/>
          <w:shd w:val="clear" w:fill="FFFFFF"/>
        </w:rPr>
        <w:t>路</w:t>
      </w:r>
      <w:r>
        <w:rPr>
          <w:rFonts w:hint="eastAsia" w:ascii="仿宋_GB2312" w:eastAsia="仿宋_GB2312" w:cs="仿宋_GB2312"/>
          <w:i w:val="0"/>
          <w:iCs w:val="0"/>
          <w:caps w:val="0"/>
          <w:color w:val="auto"/>
          <w:spacing w:val="0"/>
          <w:sz w:val="32"/>
          <w:szCs w:val="32"/>
          <w:shd w:val="clear" w:fill="FFFFFF"/>
          <w:lang w:val="en-US" w:eastAsia="zh-CN"/>
        </w:rPr>
        <w:t>7</w:t>
      </w:r>
      <w:r>
        <w:rPr>
          <w:rFonts w:hint="eastAsia" w:ascii="仿宋_GB2312" w:hAnsi="宋体" w:eastAsia="仿宋_GB2312" w:cs="仿宋_GB2312"/>
          <w:i w:val="0"/>
          <w:iCs w:val="0"/>
          <w:caps w:val="0"/>
          <w:color w:val="auto"/>
          <w:spacing w:val="0"/>
          <w:sz w:val="32"/>
          <w:szCs w:val="32"/>
          <w:shd w:val="clear" w:fill="FFFFFF"/>
        </w:rPr>
        <w:t>号；电话：0632—66</w:t>
      </w:r>
      <w:r>
        <w:rPr>
          <w:rFonts w:hint="eastAsia" w:ascii="仿宋_GB2312" w:eastAsia="仿宋_GB2312" w:cs="仿宋_GB2312"/>
          <w:i w:val="0"/>
          <w:iCs w:val="0"/>
          <w:caps w:val="0"/>
          <w:color w:val="auto"/>
          <w:spacing w:val="0"/>
          <w:sz w:val="32"/>
          <w:szCs w:val="32"/>
          <w:shd w:val="clear" w:fill="FFFFFF"/>
          <w:lang w:val="en-US" w:eastAsia="zh-CN"/>
        </w:rPr>
        <w:t>11710</w:t>
      </w:r>
      <w:r>
        <w:rPr>
          <w:rFonts w:hint="eastAsia" w:ascii="仿宋_GB2312" w:hAnsi="宋体" w:eastAsia="仿宋_GB2312" w:cs="仿宋_GB2312"/>
          <w:i w:val="0"/>
          <w:iCs w:val="0"/>
          <w:caps w:val="0"/>
          <w:color w:val="auto"/>
          <w:spacing w:val="0"/>
          <w:sz w:val="32"/>
          <w:szCs w:val="32"/>
          <w:shd w:val="clear" w:fill="FFFFFF"/>
        </w:rPr>
        <w:t>；邮箱：</w:t>
      </w:r>
      <w:r>
        <w:rPr>
          <w:rFonts w:hint="eastAsia" w:ascii="仿宋_GB2312" w:eastAsia="仿宋_GB2312" w:cs="仿宋_GB2312"/>
          <w:i w:val="0"/>
          <w:iCs w:val="0"/>
          <w:caps w:val="0"/>
          <w:color w:val="auto"/>
          <w:spacing w:val="0"/>
          <w:sz w:val="32"/>
          <w:szCs w:val="32"/>
          <w:shd w:val="clear" w:fill="FFFFFF"/>
          <w:lang w:val="en-US" w:eastAsia="zh-CN"/>
        </w:rPr>
        <w:t>tyjrbgs</w:t>
      </w:r>
      <w:r>
        <w:rPr>
          <w:rFonts w:hint="eastAsia" w:ascii="仿宋_GB2312" w:hAnsi="宋体" w:eastAsia="仿宋_GB2312" w:cs="仿宋_GB2312"/>
          <w:i w:val="0"/>
          <w:iCs w:val="0"/>
          <w:caps w:val="0"/>
          <w:color w:val="auto"/>
          <w:spacing w:val="0"/>
          <w:sz w:val="32"/>
          <w:szCs w:val="32"/>
          <w:shd w:val="clear" w:fill="FFFFFF"/>
        </w:rPr>
        <w:t>@zz.shandong.cn)。</w:t>
      </w:r>
    </w:p>
    <w:p w14:paraId="02DF2716">
      <w:pPr>
        <w:pStyle w:val="10"/>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ascii="黑体" w:hAnsi="黑体" w:eastAsia="黑体" w:cs="黑体"/>
          <w:b w:val="0"/>
          <w:bCs/>
          <w:color w:val="auto"/>
          <w:spacing w:val="0"/>
          <w:sz w:val="32"/>
          <w:szCs w:val="32"/>
        </w:rPr>
      </w:pPr>
      <w:r>
        <w:rPr>
          <w:rFonts w:hint="eastAsia" w:ascii="黑体" w:hAnsi="黑体" w:eastAsia="黑体" w:cs="黑体"/>
          <w:b w:val="0"/>
          <w:bCs/>
          <w:color w:val="auto"/>
          <w:spacing w:val="0"/>
          <w:sz w:val="32"/>
          <w:szCs w:val="32"/>
          <w:shd w:val="clear" w:color="auto" w:fill="FFFFFF"/>
        </w:rPr>
        <w:t>一、总体情况</w:t>
      </w:r>
    </w:p>
    <w:p w14:paraId="3B2F884A">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宋体" w:eastAsia="仿宋_GB2312" w:cs="仿宋_GB2312"/>
          <w:i w:val="0"/>
          <w:iCs w:val="0"/>
          <w:caps w:val="0"/>
          <w:color w:val="auto"/>
          <w:spacing w:val="0"/>
          <w:kern w:val="0"/>
          <w:sz w:val="32"/>
          <w:szCs w:val="32"/>
          <w:shd w:val="clear" w:fill="FFFFFF"/>
          <w:lang w:val="en-US" w:eastAsia="zh-CN" w:bidi="ar-SA"/>
        </w:rPr>
      </w:pPr>
      <w:r>
        <w:rPr>
          <w:rFonts w:hint="eastAsia" w:ascii="仿宋_GB2312" w:hAnsi="宋体" w:eastAsia="仿宋_GB2312" w:cs="仿宋_GB2312"/>
          <w:i w:val="0"/>
          <w:iCs w:val="0"/>
          <w:caps w:val="0"/>
          <w:color w:val="auto"/>
          <w:spacing w:val="0"/>
          <w:kern w:val="0"/>
          <w:sz w:val="32"/>
          <w:szCs w:val="32"/>
          <w:shd w:val="clear" w:fill="FFFFFF"/>
          <w:lang w:val="en-US" w:eastAsia="zh-CN" w:bidi="ar-SA"/>
        </w:rPr>
        <w:t>2025年，台儿庄区退役军人事务局认真</w:t>
      </w:r>
      <w:r>
        <w:rPr>
          <w:rFonts w:hint="eastAsia" w:ascii="仿宋_GB2312" w:hAnsi="仿宋_GB2312" w:eastAsia="仿宋_GB2312" w:cs="仿宋_GB2312"/>
          <w:color w:val="auto"/>
          <w:spacing w:val="0"/>
          <w:sz w:val="32"/>
          <w:szCs w:val="32"/>
        </w:rPr>
        <w:t>贯彻落实《中华人民共和国政府信息公开条例》</w:t>
      </w:r>
      <w:r>
        <w:rPr>
          <w:rFonts w:hint="eastAsia" w:ascii="仿宋_GB2312" w:hAnsi="宋体" w:eastAsia="仿宋_GB2312" w:cs="仿宋_GB2312"/>
          <w:i w:val="0"/>
          <w:iCs w:val="0"/>
          <w:caps w:val="0"/>
          <w:color w:val="auto"/>
          <w:spacing w:val="0"/>
          <w:kern w:val="0"/>
          <w:sz w:val="32"/>
          <w:szCs w:val="32"/>
          <w:shd w:val="clear" w:fill="FFFFFF"/>
          <w:lang w:val="en-US" w:eastAsia="zh-CN" w:bidi="ar-SA"/>
        </w:rPr>
        <w:t>和省市区有关要求，规范信息公开程序，加强信息公开审查，拓宽信息公开渠道，有序推进政府信息公开工作。</w:t>
      </w:r>
    </w:p>
    <w:p w14:paraId="79ADEF1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仿宋_GB2312" w:hAnsi="仿宋_GB2312" w:eastAsia="仿宋_GB2312" w:cs="仿宋_GB2312"/>
          <w:color w:val="auto"/>
          <w:spacing w:val="0"/>
          <w:kern w:val="2"/>
          <w:sz w:val="32"/>
          <w:szCs w:val="32"/>
        </w:rPr>
      </w:pPr>
      <w:r>
        <w:rPr>
          <w:rFonts w:hint="eastAsia" w:ascii="楷体_GB2312" w:hAnsi="楷体_GB2312" w:eastAsia="楷体_GB2312" w:cs="楷体_GB2312"/>
          <w:color w:val="auto"/>
          <w:spacing w:val="0"/>
          <w:kern w:val="2"/>
          <w:sz w:val="32"/>
          <w:szCs w:val="32"/>
          <w:lang w:val="en-US" w:eastAsia="zh-CN" w:bidi="ar-SA"/>
        </w:rPr>
        <w:t>1.主动公开信息。</w:t>
      </w:r>
      <w:r>
        <w:rPr>
          <w:rFonts w:ascii="仿宋_GB2312" w:hAnsi="宋体" w:eastAsia="仿宋_GB2312" w:cs="仿宋_GB2312"/>
          <w:i w:val="0"/>
          <w:iCs w:val="0"/>
          <w:caps w:val="0"/>
          <w:color w:val="auto"/>
          <w:spacing w:val="0"/>
          <w:sz w:val="32"/>
          <w:szCs w:val="32"/>
          <w:shd w:val="clear" w:fill="FFFFFF"/>
        </w:rPr>
        <w:t>台儿庄区</w:t>
      </w:r>
      <w:r>
        <w:rPr>
          <w:rFonts w:hint="eastAsia" w:ascii="仿宋_GB2312" w:eastAsia="仿宋_GB2312" w:cs="仿宋_GB2312"/>
          <w:i w:val="0"/>
          <w:iCs w:val="0"/>
          <w:caps w:val="0"/>
          <w:color w:val="auto"/>
          <w:spacing w:val="0"/>
          <w:sz w:val="32"/>
          <w:szCs w:val="32"/>
          <w:shd w:val="clear" w:fill="FFFFFF"/>
          <w:lang w:val="en-US" w:eastAsia="zh-CN"/>
        </w:rPr>
        <w:t>退役军人事务局</w:t>
      </w:r>
      <w:r>
        <w:rPr>
          <w:rFonts w:hint="eastAsia" w:ascii="仿宋_GB2312" w:hAnsi="宋体" w:eastAsia="仿宋_GB2312" w:cs="仿宋_GB2312"/>
          <w:i w:val="0"/>
          <w:iCs w:val="0"/>
          <w:caps w:val="0"/>
          <w:color w:val="auto"/>
          <w:spacing w:val="0"/>
          <w:kern w:val="0"/>
          <w:sz w:val="32"/>
          <w:szCs w:val="32"/>
          <w:shd w:val="clear" w:fill="FFFFFF"/>
          <w:lang w:val="en-US" w:eastAsia="zh-CN" w:bidi="ar-SA"/>
        </w:rPr>
        <w:t>全面对照《中华人民共和国政府信息公开条例》第二十条、第二十一条规定，结合工作职责，聚焦退役军人服务保障、安置就业、优待抚恤、权益维护及双拥共建等关键领域</w:t>
      </w:r>
      <w:r>
        <w:rPr>
          <w:rFonts w:hint="eastAsia" w:ascii="仿宋_GB2312" w:eastAsia="仿宋_GB2312" w:cs="仿宋_GB2312"/>
          <w:i w:val="0"/>
          <w:iCs w:val="0"/>
          <w:caps w:val="0"/>
          <w:color w:val="auto"/>
          <w:spacing w:val="0"/>
          <w:kern w:val="0"/>
          <w:sz w:val="32"/>
          <w:szCs w:val="32"/>
          <w:shd w:val="clear" w:fill="FFFFFF"/>
          <w:lang w:val="en-US" w:eastAsia="zh-CN" w:bidi="ar-SA"/>
        </w:rPr>
        <w:t>，</w:t>
      </w:r>
      <w:r>
        <w:rPr>
          <w:rFonts w:hint="eastAsia" w:ascii="仿宋_GB2312" w:hAnsi="宋体" w:eastAsia="仿宋_GB2312" w:cs="仿宋_GB2312"/>
          <w:i w:val="0"/>
          <w:iCs w:val="0"/>
          <w:caps w:val="0"/>
          <w:color w:val="auto"/>
          <w:spacing w:val="0"/>
          <w:kern w:val="0"/>
          <w:sz w:val="32"/>
          <w:szCs w:val="32"/>
          <w:shd w:val="clear" w:fill="FFFFFF"/>
          <w:lang w:val="en-US" w:eastAsia="zh-CN" w:bidi="ar-SA"/>
        </w:rPr>
        <w:t>梳理相关信息公开情况</w:t>
      </w:r>
      <w:r>
        <w:rPr>
          <w:rFonts w:hint="eastAsia" w:ascii="仿宋_GB2312" w:eastAsia="仿宋_GB2312" w:cs="仿宋_GB2312"/>
          <w:i w:val="0"/>
          <w:iCs w:val="0"/>
          <w:caps w:val="0"/>
          <w:color w:val="auto"/>
          <w:spacing w:val="0"/>
          <w:kern w:val="0"/>
          <w:sz w:val="32"/>
          <w:szCs w:val="32"/>
          <w:shd w:val="clear" w:fill="FFFFFF"/>
          <w:lang w:val="en-US" w:eastAsia="zh-CN" w:bidi="ar-SA"/>
        </w:rPr>
        <w:t>。</w:t>
      </w:r>
      <w:r>
        <w:rPr>
          <w:rFonts w:hint="eastAsia" w:ascii="仿宋_GB2312" w:hAnsi="仿宋_GB2312" w:eastAsia="仿宋_GB2312" w:cs="仿宋_GB2312"/>
          <w:color w:val="auto"/>
          <w:spacing w:val="0"/>
          <w:kern w:val="2"/>
          <w:sz w:val="32"/>
          <w:szCs w:val="32"/>
        </w:rPr>
        <w:t>202</w:t>
      </w:r>
      <w:r>
        <w:rPr>
          <w:rFonts w:hint="eastAsia" w:ascii="仿宋_GB2312" w:hAnsi="仿宋_GB2312" w:eastAsia="仿宋_GB2312" w:cs="仿宋_GB2312"/>
          <w:color w:val="auto"/>
          <w:spacing w:val="0"/>
          <w:kern w:val="2"/>
          <w:sz w:val="32"/>
          <w:szCs w:val="32"/>
          <w:lang w:val="en-US" w:eastAsia="zh-CN"/>
        </w:rPr>
        <w:t>5</w:t>
      </w:r>
      <w:r>
        <w:rPr>
          <w:rFonts w:hint="eastAsia" w:ascii="仿宋_GB2312" w:hAnsi="仿宋_GB2312" w:eastAsia="仿宋_GB2312" w:cs="仿宋_GB2312"/>
          <w:color w:val="auto"/>
          <w:spacing w:val="0"/>
          <w:kern w:val="2"/>
          <w:sz w:val="32"/>
          <w:szCs w:val="32"/>
        </w:rPr>
        <w:t>年</w:t>
      </w:r>
      <w:r>
        <w:rPr>
          <w:rFonts w:hint="eastAsia" w:ascii="仿宋_GB2312" w:hAnsi="宋体" w:eastAsia="仿宋_GB2312" w:cs="仿宋_GB2312"/>
          <w:i w:val="0"/>
          <w:iCs w:val="0"/>
          <w:caps w:val="0"/>
          <w:color w:val="auto"/>
          <w:spacing w:val="0"/>
          <w:sz w:val="32"/>
          <w:szCs w:val="32"/>
          <w:shd w:val="clear" w:fill="FFFFFF"/>
          <w:lang w:eastAsia="zh-CN"/>
        </w:rPr>
        <w:t>，</w:t>
      </w:r>
      <w:r>
        <w:rPr>
          <w:rFonts w:ascii="仿宋_GB2312" w:hAnsi="宋体" w:eastAsia="仿宋_GB2312" w:cs="仿宋_GB2312"/>
          <w:i w:val="0"/>
          <w:iCs w:val="0"/>
          <w:caps w:val="0"/>
          <w:color w:val="auto"/>
          <w:spacing w:val="0"/>
          <w:sz w:val="32"/>
          <w:szCs w:val="32"/>
          <w:shd w:val="clear" w:fill="FFFFFF"/>
        </w:rPr>
        <w:t>通过台儿庄区人民政府网站集约化智能门户平台</w:t>
      </w:r>
      <w:r>
        <w:rPr>
          <w:rFonts w:ascii="仿宋_GB2312" w:hAnsi="宋体" w:eastAsia="仿宋_GB2312" w:cs="仿宋_GB2312"/>
          <w:color w:val="auto"/>
          <w:spacing w:val="0"/>
          <w:sz w:val="32"/>
          <w:szCs w:val="32"/>
          <w:shd w:val="clear" w:color="auto" w:fill="FFFFFF"/>
        </w:rPr>
        <w:t>公开政务信息</w:t>
      </w:r>
      <w:r>
        <w:rPr>
          <w:rFonts w:hint="eastAsia" w:ascii="仿宋_GB2312" w:hAnsi="仿宋_GB2312" w:eastAsia="仿宋_GB2312" w:cs="仿宋_GB2312"/>
          <w:color w:val="auto"/>
          <w:spacing w:val="0"/>
          <w:kern w:val="2"/>
          <w:sz w:val="32"/>
          <w:szCs w:val="32"/>
          <w:lang w:val="en-US" w:eastAsia="zh-CN"/>
        </w:rPr>
        <w:t>16条</w:t>
      </w:r>
      <w:r>
        <w:rPr>
          <w:rFonts w:hint="eastAsia" w:ascii="仿宋_GB2312" w:hAnsi="仿宋_GB2312" w:eastAsia="仿宋_GB2312" w:cs="仿宋_GB2312"/>
          <w:color w:val="auto"/>
          <w:spacing w:val="0"/>
          <w:kern w:val="2"/>
          <w:sz w:val="32"/>
          <w:szCs w:val="32"/>
        </w:rPr>
        <w:t>。</w:t>
      </w:r>
    </w:p>
    <w:p w14:paraId="7A23EAE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仿宋_GB2312" w:hAnsi="仿宋_GB2312" w:eastAsia="仿宋_GB2312" w:cs="仿宋_GB2312"/>
          <w:color w:val="auto"/>
          <w:spacing w:val="0"/>
          <w:kern w:val="2"/>
          <w:sz w:val="32"/>
          <w:szCs w:val="32"/>
        </w:rPr>
      </w:pPr>
      <w:r>
        <w:rPr>
          <w:rFonts w:hint="eastAsia" w:ascii="楷体_GB2312" w:hAnsi="楷体_GB2312" w:eastAsia="楷体_GB2312" w:cs="楷体_GB2312"/>
          <w:color w:val="auto"/>
          <w:spacing w:val="0"/>
          <w:kern w:val="2"/>
          <w:sz w:val="32"/>
          <w:szCs w:val="32"/>
          <w:lang w:val="en-US" w:eastAsia="zh-CN" w:bidi="ar-SA"/>
        </w:rPr>
        <w:t>2.依申请公开工作方面。</w:t>
      </w:r>
      <w:r>
        <w:rPr>
          <w:rFonts w:hint="eastAsia" w:ascii="仿宋_GB2312" w:hAnsi="仿宋_GB2312" w:eastAsia="仿宋_GB2312" w:cs="仿宋_GB2312"/>
          <w:color w:val="auto"/>
          <w:spacing w:val="0"/>
          <w:kern w:val="2"/>
          <w:sz w:val="32"/>
          <w:szCs w:val="32"/>
        </w:rPr>
        <w:t>202</w:t>
      </w:r>
      <w:r>
        <w:rPr>
          <w:rFonts w:hint="eastAsia" w:ascii="仿宋_GB2312" w:hAnsi="仿宋_GB2312" w:eastAsia="仿宋_GB2312" w:cs="仿宋_GB2312"/>
          <w:color w:val="auto"/>
          <w:spacing w:val="0"/>
          <w:kern w:val="2"/>
          <w:sz w:val="32"/>
          <w:szCs w:val="32"/>
          <w:lang w:val="en-US" w:eastAsia="zh-CN"/>
        </w:rPr>
        <w:t>5</w:t>
      </w:r>
      <w:r>
        <w:rPr>
          <w:rFonts w:hint="eastAsia" w:ascii="仿宋_GB2312" w:hAnsi="仿宋_GB2312" w:eastAsia="仿宋_GB2312" w:cs="仿宋_GB2312"/>
          <w:color w:val="auto"/>
          <w:spacing w:val="0"/>
          <w:kern w:val="2"/>
          <w:sz w:val="32"/>
          <w:szCs w:val="32"/>
        </w:rPr>
        <w:t>年，</w:t>
      </w:r>
      <w:r>
        <w:rPr>
          <w:rFonts w:hint="eastAsia" w:ascii="仿宋_GB2312" w:hAnsi="仿宋_GB2312" w:eastAsia="仿宋_GB2312" w:cs="仿宋_GB2312"/>
          <w:color w:val="auto"/>
          <w:spacing w:val="0"/>
          <w:kern w:val="2"/>
          <w:sz w:val="32"/>
          <w:szCs w:val="32"/>
          <w:lang w:val="en-US" w:eastAsia="zh-CN"/>
        </w:rPr>
        <w:t>台儿庄区退役军人事务局未收到依申请信息公开事项</w:t>
      </w:r>
      <w:r>
        <w:rPr>
          <w:rFonts w:hint="eastAsia" w:ascii="仿宋_GB2312" w:hAnsi="仿宋_GB2312" w:eastAsia="仿宋_GB2312" w:cs="仿宋_GB2312"/>
          <w:color w:val="auto"/>
          <w:spacing w:val="0"/>
          <w:kern w:val="2"/>
          <w:sz w:val="32"/>
          <w:szCs w:val="32"/>
        </w:rPr>
        <w:t>。</w:t>
      </w:r>
    </w:p>
    <w:p w14:paraId="6FF53526">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pacing w:val="0"/>
          <w:kern w:val="2"/>
          <w:sz w:val="32"/>
          <w:szCs w:val="32"/>
        </w:rPr>
      </w:pPr>
      <w:r>
        <w:rPr>
          <w:rFonts w:hint="eastAsia" w:ascii="楷体_GB2312" w:hAnsi="楷体_GB2312" w:eastAsia="楷体_GB2312" w:cs="楷体_GB2312"/>
          <w:color w:val="auto"/>
          <w:spacing w:val="0"/>
          <w:kern w:val="2"/>
          <w:sz w:val="32"/>
          <w:szCs w:val="32"/>
          <w:lang w:val="en-US" w:eastAsia="zh-CN" w:bidi="ar-SA"/>
        </w:rPr>
        <w:t>3.政府信息管理方面。</w:t>
      </w:r>
      <w:r>
        <w:rPr>
          <w:rFonts w:hint="eastAsia" w:ascii="仿宋_GB2312" w:hAnsi="仿宋_GB2312" w:eastAsia="仿宋_GB2312" w:cs="仿宋_GB2312"/>
          <w:i w:val="0"/>
          <w:iCs w:val="0"/>
          <w:caps w:val="0"/>
          <w:color w:val="auto"/>
          <w:spacing w:val="0"/>
          <w:kern w:val="10"/>
          <w:sz w:val="32"/>
          <w:szCs w:val="32"/>
          <w:shd w:val="clear" w:fill="FFFFFF"/>
        </w:rPr>
        <w:t>严格落实信息发布</w:t>
      </w:r>
      <w:r>
        <w:rPr>
          <w:rFonts w:hint="eastAsia" w:ascii="仿宋_GB2312" w:hAnsi="仿宋_GB2312" w:eastAsia="仿宋_GB2312" w:cs="仿宋_GB2312"/>
          <w:i w:val="0"/>
          <w:iCs w:val="0"/>
          <w:caps w:val="0"/>
          <w:color w:val="auto"/>
          <w:spacing w:val="0"/>
          <w:kern w:val="10"/>
          <w:sz w:val="32"/>
          <w:szCs w:val="32"/>
          <w:shd w:val="clear" w:fill="FFFFFF"/>
          <w:lang w:eastAsia="zh-CN"/>
        </w:rPr>
        <w:t>“</w:t>
      </w:r>
      <w:r>
        <w:rPr>
          <w:rFonts w:hint="eastAsia" w:ascii="仿宋_GB2312" w:hAnsi="仿宋_GB2312" w:eastAsia="仿宋_GB2312" w:cs="仿宋_GB2312"/>
          <w:i w:val="0"/>
          <w:iCs w:val="0"/>
          <w:caps w:val="0"/>
          <w:color w:val="auto"/>
          <w:spacing w:val="0"/>
          <w:kern w:val="10"/>
          <w:sz w:val="32"/>
          <w:szCs w:val="32"/>
          <w:shd w:val="clear" w:fill="FFFFFF"/>
        </w:rPr>
        <w:t>三审三校</w:t>
      </w:r>
      <w:r>
        <w:rPr>
          <w:rFonts w:hint="eastAsia" w:ascii="仿宋_GB2312" w:hAnsi="仿宋_GB2312" w:eastAsia="仿宋_GB2312" w:cs="仿宋_GB2312"/>
          <w:i w:val="0"/>
          <w:iCs w:val="0"/>
          <w:caps w:val="0"/>
          <w:color w:val="auto"/>
          <w:spacing w:val="0"/>
          <w:kern w:val="10"/>
          <w:sz w:val="32"/>
          <w:szCs w:val="32"/>
          <w:shd w:val="clear" w:fill="FFFFFF"/>
          <w:lang w:eastAsia="zh-CN"/>
        </w:rPr>
        <w:t>”</w:t>
      </w:r>
      <w:r>
        <w:rPr>
          <w:rFonts w:hint="eastAsia" w:ascii="仿宋_GB2312" w:hAnsi="仿宋_GB2312" w:eastAsia="仿宋_GB2312" w:cs="仿宋_GB2312"/>
          <w:i w:val="0"/>
          <w:iCs w:val="0"/>
          <w:caps w:val="0"/>
          <w:color w:val="auto"/>
          <w:spacing w:val="0"/>
          <w:kern w:val="10"/>
          <w:sz w:val="32"/>
          <w:szCs w:val="32"/>
          <w:shd w:val="clear" w:fill="FFFFFF"/>
        </w:rPr>
        <w:t>制度，</w:t>
      </w:r>
      <w:r>
        <w:rPr>
          <w:rFonts w:hint="eastAsia" w:ascii="仿宋_GB2312" w:hAnsi="仿宋_GB2312" w:eastAsia="仿宋_GB2312" w:cs="仿宋_GB2312"/>
          <w:color w:val="auto"/>
          <w:spacing w:val="0"/>
          <w:kern w:val="10"/>
          <w:sz w:val="32"/>
          <w:szCs w:val="32"/>
          <w:lang w:val="en-US" w:eastAsia="zh-CN" w:bidi="ar-SA"/>
        </w:rPr>
        <w:t>确保信息发布导向正确、内容积极健康。</w:t>
      </w:r>
      <w:r>
        <w:rPr>
          <w:rFonts w:hint="eastAsia" w:ascii="仿宋_GB2312" w:hAnsi="仿宋_GB2312" w:eastAsia="仿宋_GB2312" w:cs="仿宋_GB2312"/>
          <w:color w:val="auto"/>
          <w:spacing w:val="0"/>
          <w:kern w:val="2"/>
          <w:sz w:val="32"/>
          <w:szCs w:val="32"/>
        </w:rPr>
        <w:t>严格遵守《国家保密法》，涉密信息不公开，公开信息不涉密的原则</w:t>
      </w:r>
      <w:r>
        <w:rPr>
          <w:rFonts w:hint="eastAsia" w:ascii="仿宋_GB2312" w:hAnsi="仿宋_GB2312" w:eastAsia="仿宋_GB2312" w:cs="仿宋_GB2312"/>
          <w:color w:val="auto"/>
          <w:spacing w:val="0"/>
          <w:kern w:val="2"/>
          <w:sz w:val="32"/>
          <w:szCs w:val="32"/>
          <w:lang w:eastAsia="zh-CN"/>
        </w:rPr>
        <w:t>，</w:t>
      </w:r>
      <w:r>
        <w:rPr>
          <w:rFonts w:hint="eastAsia" w:ascii="仿宋_GB2312" w:hAnsi="仿宋_GB2312" w:eastAsia="仿宋_GB2312" w:cs="仿宋_GB2312"/>
          <w:color w:val="auto"/>
          <w:spacing w:val="0"/>
          <w:kern w:val="2"/>
          <w:sz w:val="32"/>
          <w:szCs w:val="32"/>
          <w:lang w:val="en-US" w:eastAsia="zh-CN"/>
        </w:rPr>
        <w:t>确保</w:t>
      </w:r>
      <w:r>
        <w:rPr>
          <w:rFonts w:hint="eastAsia" w:ascii="仿宋_GB2312" w:hAnsi="仿宋_GB2312" w:eastAsia="仿宋_GB2312" w:cs="仿宋_GB2312"/>
          <w:color w:val="auto"/>
          <w:spacing w:val="0"/>
          <w:kern w:val="2"/>
          <w:sz w:val="32"/>
          <w:szCs w:val="32"/>
        </w:rPr>
        <w:t>上网发布的信息真实、完整、可靠。</w:t>
      </w:r>
      <w:r>
        <w:rPr>
          <w:rFonts w:ascii="仿宋_GB2312" w:hAnsi="宋体" w:eastAsia="仿宋_GB2312" w:cs="仿宋_GB2312"/>
          <w:i w:val="0"/>
          <w:iCs w:val="0"/>
          <w:caps w:val="0"/>
          <w:color w:val="auto"/>
          <w:spacing w:val="0"/>
          <w:sz w:val="32"/>
          <w:szCs w:val="32"/>
          <w:shd w:val="clear" w:fill="FFFFFF"/>
        </w:rPr>
        <w:t>202</w:t>
      </w:r>
      <w:r>
        <w:rPr>
          <w:rFonts w:hint="eastAsia" w:ascii="仿宋_GB2312" w:hAnsi="宋体" w:eastAsia="仿宋_GB2312" w:cs="仿宋_GB2312"/>
          <w:i w:val="0"/>
          <w:iCs w:val="0"/>
          <w:caps w:val="0"/>
          <w:color w:val="auto"/>
          <w:spacing w:val="0"/>
          <w:sz w:val="32"/>
          <w:szCs w:val="32"/>
          <w:shd w:val="clear" w:fill="FFFFFF"/>
          <w:lang w:val="en-US" w:eastAsia="zh-CN"/>
        </w:rPr>
        <w:t>5</w:t>
      </w:r>
      <w:r>
        <w:rPr>
          <w:rFonts w:ascii="仿宋_GB2312" w:hAnsi="宋体" w:eastAsia="仿宋_GB2312" w:cs="仿宋_GB2312"/>
          <w:i w:val="0"/>
          <w:iCs w:val="0"/>
          <w:caps w:val="0"/>
          <w:color w:val="auto"/>
          <w:spacing w:val="0"/>
          <w:sz w:val="32"/>
          <w:szCs w:val="32"/>
          <w:shd w:val="clear" w:fill="FFFFFF"/>
        </w:rPr>
        <w:t>年未出现泄密情况。</w:t>
      </w:r>
    </w:p>
    <w:p w14:paraId="7C0E78B9">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color w:val="auto"/>
          <w:spacing w:val="0"/>
          <w:sz w:val="32"/>
          <w:szCs w:val="32"/>
        </w:rPr>
        <w:t>4.平台建设</w:t>
      </w:r>
      <w:r>
        <w:rPr>
          <w:rFonts w:hint="eastAsia" w:ascii="楷体_GB2312" w:hAnsi="楷体_GB2312" w:eastAsia="楷体_GB2312" w:cs="楷体_GB2312"/>
          <w:color w:val="auto"/>
          <w:spacing w:val="0"/>
          <w:sz w:val="32"/>
          <w:szCs w:val="32"/>
          <w:lang w:val="en-US" w:eastAsia="zh-CN"/>
        </w:rPr>
        <w:t>方面</w:t>
      </w:r>
      <w:r>
        <w:rPr>
          <w:rFonts w:hint="eastAsia" w:ascii="楷体_GB2312" w:hAnsi="楷体_GB2312" w:eastAsia="楷体_GB2312" w:cs="楷体_GB2312"/>
          <w:color w:val="auto"/>
          <w:spacing w:val="0"/>
          <w:sz w:val="32"/>
          <w:szCs w:val="32"/>
        </w:rPr>
        <w:t>。</w:t>
      </w:r>
      <w:r>
        <w:rPr>
          <w:rFonts w:hint="eastAsia" w:ascii="仿宋_GB2312" w:hAnsi="仿宋_GB2312" w:eastAsia="仿宋_GB2312" w:cs="仿宋_GB2312"/>
          <w:color w:val="auto"/>
          <w:spacing w:val="0"/>
          <w:sz w:val="32"/>
          <w:szCs w:val="32"/>
          <w:lang w:val="en-US" w:eastAsia="zh-CN"/>
        </w:rPr>
        <w:t>2025年，台儿庄区退役军人事务局主要依区政府信息公开平台公开信息，涵盖机构信息、部门文件、业务工作等内容，及时发布退役军人事务工作动态、安置就业等信息。</w:t>
      </w:r>
      <w:r>
        <w:rPr>
          <w:rFonts w:hint="eastAsia" w:ascii="仿宋_GB2312" w:hAnsi="仿宋_GB2312" w:eastAsia="仿宋_GB2312" w:cs="仿宋_GB2312"/>
          <w:color w:val="auto"/>
          <w:spacing w:val="0"/>
          <w:sz w:val="32"/>
          <w:szCs w:val="32"/>
        </w:rPr>
        <w:t>健全完善了政府网站内容保障机制,</w:t>
      </w:r>
      <w:r>
        <w:rPr>
          <w:rFonts w:ascii="仿宋_GB2312" w:hAnsi="宋体" w:eastAsia="仿宋_GB2312" w:cs="仿宋_GB2312"/>
          <w:i w:val="0"/>
          <w:iCs w:val="0"/>
          <w:caps w:val="0"/>
          <w:color w:val="auto"/>
          <w:spacing w:val="0"/>
          <w:sz w:val="32"/>
          <w:szCs w:val="32"/>
          <w:shd w:val="clear" w:fill="FFFFFF"/>
        </w:rPr>
        <w:t>不断完善政府信息公开专栏工作，为退役军人及时获取和查询各类信息提供便利。</w:t>
      </w:r>
    </w:p>
    <w:p w14:paraId="2DF0E6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18" w:firstLineChars="200"/>
        <w:jc w:val="both"/>
        <w:textAlignment w:val="auto"/>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rPr>
        <w:t>5.</w:t>
      </w:r>
      <w:r>
        <w:rPr>
          <w:rFonts w:hint="eastAsia" w:ascii="楷体_GB2312" w:hAnsi="楷体_GB2312" w:eastAsia="楷体_GB2312" w:cs="楷体_GB2312"/>
          <w:color w:val="auto"/>
          <w:spacing w:val="0"/>
          <w:sz w:val="32"/>
          <w:szCs w:val="32"/>
          <w:lang w:val="en-US" w:eastAsia="zh-CN"/>
        </w:rPr>
        <w:t>强化</w:t>
      </w:r>
      <w:r>
        <w:rPr>
          <w:rFonts w:hint="eastAsia" w:ascii="楷体_GB2312" w:hAnsi="楷体_GB2312" w:eastAsia="楷体_GB2312" w:cs="楷体_GB2312"/>
          <w:color w:val="auto"/>
          <w:spacing w:val="0"/>
          <w:sz w:val="32"/>
          <w:szCs w:val="32"/>
        </w:rPr>
        <w:t>监督保障。</w:t>
      </w:r>
      <w:r>
        <w:rPr>
          <w:rFonts w:hint="eastAsia" w:ascii="仿宋_GB2312" w:hAnsi="仿宋_GB2312" w:eastAsia="仿宋_GB2312" w:cs="仿宋_GB2312"/>
          <w:color w:val="auto"/>
          <w:spacing w:val="0"/>
          <w:sz w:val="32"/>
          <w:szCs w:val="32"/>
        </w:rPr>
        <w:t>将信息公开工作纳入年度考核，每季度开展一次自查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针对发现的问题及时整改，确保信息公开工作扎实推进。主动接受上级政务信息公开主管部门的监督和指导，积极改进政务公开工作，健全政务公开制度。加强业务工作交流学习，</w:t>
      </w:r>
      <w:r>
        <w:rPr>
          <w:rFonts w:hint="eastAsia" w:ascii="仿宋_GB2312" w:hAnsi="仿宋_GB2312" w:eastAsia="仿宋_GB2312" w:cs="仿宋_GB2312"/>
          <w:color w:val="auto"/>
          <w:spacing w:val="0"/>
          <w:sz w:val="32"/>
          <w:szCs w:val="32"/>
          <w:lang w:val="en-US" w:eastAsia="zh-CN"/>
        </w:rPr>
        <w:t>每年1次</w:t>
      </w:r>
      <w:r>
        <w:rPr>
          <w:rFonts w:hint="eastAsia" w:ascii="仿宋_GB2312" w:hAnsi="仿宋_GB2312" w:eastAsia="仿宋_GB2312" w:cs="仿宋_GB2312"/>
          <w:color w:val="auto"/>
          <w:spacing w:val="0"/>
          <w:sz w:val="32"/>
          <w:szCs w:val="32"/>
        </w:rPr>
        <w:t>政务公开工作</w:t>
      </w:r>
      <w:r>
        <w:rPr>
          <w:rFonts w:hint="eastAsia" w:ascii="仿宋_GB2312" w:hAnsi="仿宋_GB2312" w:eastAsia="仿宋_GB2312" w:cs="仿宋_GB2312"/>
          <w:color w:val="auto"/>
          <w:spacing w:val="0"/>
          <w:sz w:val="32"/>
          <w:szCs w:val="32"/>
          <w:lang w:val="en-US" w:eastAsia="zh-CN"/>
        </w:rPr>
        <w:t>专题</w:t>
      </w:r>
      <w:r>
        <w:rPr>
          <w:rFonts w:hint="eastAsia" w:ascii="仿宋_GB2312" w:hAnsi="仿宋_GB2312" w:eastAsia="仿宋_GB2312" w:cs="仿宋_GB2312"/>
          <w:color w:val="auto"/>
          <w:spacing w:val="0"/>
          <w:sz w:val="32"/>
          <w:szCs w:val="32"/>
        </w:rPr>
        <w:t>培训</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不断加大退役军人工作领域公开力度，主动接受上级主管部门和社会各界的监督。</w:t>
      </w:r>
    </w:p>
    <w:p w14:paraId="73CD11B4">
      <w:pPr>
        <w:pStyle w:val="10"/>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ascii="黑体" w:hAnsi="黑体" w:eastAsia="黑体" w:cs="黑体"/>
          <w:bCs/>
          <w:color w:val="auto"/>
          <w:spacing w:val="0"/>
          <w:sz w:val="32"/>
          <w:szCs w:val="32"/>
        </w:rPr>
      </w:pPr>
      <w:r>
        <w:rPr>
          <w:rFonts w:hint="eastAsia" w:ascii="黑体" w:hAnsi="黑体" w:eastAsia="黑体" w:cs="黑体"/>
          <w:bCs/>
          <w:color w:val="auto"/>
          <w:spacing w:val="0"/>
          <w:sz w:val="32"/>
          <w:szCs w:val="32"/>
          <w:shd w:val="clear" w:color="auto" w:fill="FFFFFF"/>
        </w:rPr>
        <w:t>二、主动公开政府信息情况</w:t>
      </w:r>
    </w:p>
    <w:tbl>
      <w:tblPr>
        <w:tblStyle w:val="12"/>
        <w:tblW w:w="8835"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75" w:type="dxa"/>
          <w:left w:w="150" w:type="dxa"/>
          <w:bottom w:w="75" w:type="dxa"/>
          <w:right w:w="150" w:type="dxa"/>
        </w:tblCellMar>
      </w:tblPr>
      <w:tblGrid>
        <w:gridCol w:w="2039"/>
        <w:gridCol w:w="2054"/>
        <w:gridCol w:w="2054"/>
        <w:gridCol w:w="2688"/>
      </w:tblGrid>
      <w:tr w14:paraId="2766AAD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PrEx>
        <w:trPr>
          <w:trHeight w:val="345"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1FDC4662">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第二十条第（一）项</w:t>
            </w:r>
          </w:p>
        </w:tc>
      </w:tr>
      <w:tr w14:paraId="418A43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92CD6C7">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49373174">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本年制发件数</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59409C68">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本年废止件数</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380F2C64">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现行有效件数</w:t>
            </w:r>
          </w:p>
        </w:tc>
      </w:tr>
      <w:tr w14:paraId="31458B6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2B15A31">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规章</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27223DAF">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7C3D142">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72B192F1">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r>
      <w:tr w14:paraId="2729644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41D5CBEA">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行政规范性文件</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FE8654E">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95"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072A59C8">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c>
          <w:tcPr>
            <w:tcW w:w="1980" w:type="dxa"/>
            <w:tcBorders>
              <w:top w:val="nil"/>
              <w:left w:val="nil"/>
              <w:bottom w:val="single" w:color="00000A" w:sz="8" w:space="0"/>
              <w:right w:val="single" w:color="00000A" w:sz="8" w:space="0"/>
            </w:tcBorders>
            <w:shd w:val="clear" w:color="auto" w:fill="FFFFFF"/>
            <w:tcMar>
              <w:top w:w="0" w:type="dxa"/>
              <w:left w:w="0" w:type="dxa"/>
              <w:bottom w:w="0" w:type="dxa"/>
              <w:right w:w="115" w:type="dxa"/>
            </w:tcMar>
            <w:vAlign w:val="center"/>
          </w:tcPr>
          <w:p w14:paraId="6437A369">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r>
      <w:tr w14:paraId="0D27AB4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3E4490A3">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第二十条第（五）项</w:t>
            </w:r>
          </w:p>
        </w:tc>
      </w:tr>
      <w:tr w14:paraId="511D8CA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14CEA62E">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3A4702B5">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本年处理决定数量</w:t>
            </w:r>
          </w:p>
        </w:tc>
      </w:tr>
      <w:tr w14:paraId="21EB3B5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66EE3734">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行政许可</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08B67C34">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r>
      <w:tr w14:paraId="0A25865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59DE769E">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第二十条第（六）项</w:t>
            </w:r>
          </w:p>
        </w:tc>
      </w:tr>
      <w:tr w14:paraId="69EB652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2EEE1A6D">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5257495E">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本年处理决定数量</w:t>
            </w:r>
          </w:p>
        </w:tc>
      </w:tr>
      <w:tr w14:paraId="341537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42DEBE06">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A"/>
                <w:kern w:val="0"/>
                <w:sz w:val="20"/>
                <w:szCs w:val="20"/>
              </w:rPr>
              <w:t>行政处罚</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75962174">
            <w:pPr>
              <w:widowControl/>
              <w:spacing w:line="560" w:lineRule="exact"/>
              <w:jc w:val="center"/>
              <w:rPr>
                <w:rFonts w:hint="default" w:ascii="宋体" w:hAnsi="宋体" w:eastAsia="仿宋_GB2312" w:cs="宋体"/>
                <w:kern w:val="0"/>
                <w:sz w:val="20"/>
                <w:szCs w:val="20"/>
                <w:lang w:val="en-US" w:eastAsia="zh-CN"/>
              </w:rPr>
            </w:pPr>
            <w:r>
              <w:rPr>
                <w:rFonts w:hint="eastAsia" w:ascii="仿宋_GB2312" w:hAnsi="宋体" w:eastAsia="仿宋_GB2312" w:cs="宋体"/>
                <w:kern w:val="0"/>
                <w:sz w:val="20"/>
                <w:szCs w:val="20"/>
                <w:lang w:val="en-US" w:eastAsia="zh-CN"/>
              </w:rPr>
              <w:t>0</w:t>
            </w:r>
          </w:p>
        </w:tc>
      </w:tr>
      <w:tr w14:paraId="637C27F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11A83A65">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A"/>
                <w:kern w:val="0"/>
                <w:sz w:val="20"/>
                <w:szCs w:val="20"/>
              </w:rPr>
              <w:t>行政强制</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4C2CCFE9">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A"/>
                <w:kern w:val="0"/>
                <w:sz w:val="20"/>
                <w:szCs w:val="20"/>
              </w:rPr>
              <w:t>0</w:t>
            </w:r>
          </w:p>
        </w:tc>
      </w:tr>
      <w:tr w14:paraId="793CBF6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8580" w:type="dxa"/>
            <w:gridSpan w:val="4"/>
            <w:tcBorders>
              <w:top w:val="single" w:color="00000A" w:sz="8" w:space="0"/>
              <w:left w:val="single" w:color="00000A" w:sz="8" w:space="0"/>
              <w:bottom w:val="single" w:color="00000A" w:sz="8" w:space="0"/>
              <w:right w:val="single" w:color="000001" w:sz="8" w:space="0"/>
            </w:tcBorders>
            <w:shd w:val="clear" w:color="auto" w:fill="C6D9F1"/>
            <w:tcMar>
              <w:top w:w="0" w:type="dxa"/>
              <w:left w:w="115" w:type="dxa"/>
              <w:bottom w:w="0" w:type="dxa"/>
              <w:right w:w="115" w:type="dxa"/>
            </w:tcMar>
            <w:vAlign w:val="center"/>
          </w:tcPr>
          <w:p w14:paraId="688E5522">
            <w:pPr>
              <w:widowControl/>
              <w:spacing w:line="560" w:lineRule="exact"/>
              <w:jc w:val="center"/>
              <w:rPr>
                <w:rFonts w:ascii="宋体" w:hAnsi="宋体" w:eastAsia="宋体" w:cs="宋体"/>
                <w:kern w:val="0"/>
                <w:sz w:val="20"/>
                <w:szCs w:val="20"/>
              </w:rPr>
            </w:pPr>
            <w:r>
              <w:rPr>
                <w:rFonts w:hint="eastAsia" w:ascii="黑体" w:hAnsi="黑体" w:eastAsia="黑体" w:cs="宋体"/>
                <w:color w:val="000000"/>
                <w:kern w:val="0"/>
                <w:sz w:val="20"/>
                <w:szCs w:val="20"/>
              </w:rPr>
              <w:t>第二十条第（八）项</w:t>
            </w:r>
          </w:p>
        </w:tc>
      </w:tr>
      <w:tr w14:paraId="62AD253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1980" w:type="dxa"/>
            <w:tcBorders>
              <w:top w:val="nil"/>
              <w:left w:val="single" w:color="00000A" w:sz="8" w:space="0"/>
              <w:bottom w:val="single" w:color="00000A" w:sz="6" w:space="0"/>
              <w:right w:val="single" w:color="00000A" w:sz="8" w:space="0"/>
            </w:tcBorders>
            <w:shd w:val="clear" w:color="auto" w:fill="FFFFFF"/>
            <w:tcMar>
              <w:top w:w="0" w:type="dxa"/>
              <w:left w:w="115" w:type="dxa"/>
              <w:bottom w:w="0" w:type="dxa"/>
              <w:right w:w="115" w:type="dxa"/>
            </w:tcMar>
            <w:vAlign w:val="center"/>
          </w:tcPr>
          <w:p w14:paraId="378E4A1C">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信息内容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56A1107B">
            <w:pPr>
              <w:widowControl/>
              <w:spacing w:line="560" w:lineRule="exact"/>
              <w:jc w:val="center"/>
              <w:rPr>
                <w:rFonts w:ascii="宋体" w:hAnsi="宋体" w:eastAsia="宋体" w:cs="宋体"/>
                <w:kern w:val="0"/>
                <w:sz w:val="20"/>
                <w:szCs w:val="20"/>
              </w:rPr>
            </w:pPr>
            <w:r>
              <w:rPr>
                <w:rFonts w:hint="eastAsia" w:ascii="仿宋_GB2312" w:hAnsi="宋体" w:eastAsia="仿宋_GB2312" w:cs="宋体"/>
                <w:color w:val="000000"/>
                <w:kern w:val="0"/>
                <w:sz w:val="20"/>
                <w:szCs w:val="20"/>
              </w:rPr>
              <w:t>本年收费金额（单位：万元）</w:t>
            </w:r>
          </w:p>
        </w:tc>
      </w:tr>
      <w:tr w14:paraId="434634B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45" w:hRule="atLeast"/>
          <w:jc w:val="center"/>
        </w:trPr>
        <w:tc>
          <w:tcPr>
            <w:tcW w:w="1980" w:type="dxa"/>
            <w:tcBorders>
              <w:top w:val="single" w:color="00000A" w:sz="6" w:space="0"/>
              <w:left w:val="single" w:color="00000A" w:sz="8" w:space="0"/>
              <w:bottom w:val="single" w:color="00000A" w:sz="8" w:space="0"/>
              <w:right w:val="single" w:color="00000A" w:sz="8" w:space="0"/>
            </w:tcBorders>
            <w:shd w:val="clear" w:color="auto" w:fill="FFFFFF"/>
            <w:tcMar>
              <w:top w:w="0" w:type="dxa"/>
              <w:left w:w="115" w:type="dxa"/>
              <w:bottom w:w="0" w:type="dxa"/>
              <w:right w:w="115" w:type="dxa"/>
            </w:tcMar>
            <w:vAlign w:val="center"/>
          </w:tcPr>
          <w:p w14:paraId="5C30E408">
            <w:pPr>
              <w:widowControl/>
              <w:spacing w:line="560" w:lineRule="exact"/>
              <w:jc w:val="left"/>
              <w:rPr>
                <w:rFonts w:ascii="宋体" w:hAnsi="宋体" w:eastAsia="宋体" w:cs="宋体"/>
                <w:kern w:val="0"/>
                <w:sz w:val="20"/>
                <w:szCs w:val="20"/>
              </w:rPr>
            </w:pPr>
            <w:r>
              <w:rPr>
                <w:rFonts w:hint="eastAsia" w:ascii="仿宋_GB2312" w:hAnsi="宋体" w:eastAsia="仿宋_GB2312" w:cs="宋体"/>
                <w:color w:val="000000"/>
                <w:kern w:val="0"/>
                <w:sz w:val="20"/>
                <w:szCs w:val="20"/>
              </w:rPr>
              <w:t>行政事业性收费</w:t>
            </w:r>
          </w:p>
        </w:tc>
        <w:tc>
          <w:tcPr>
            <w:tcW w:w="6390" w:type="dxa"/>
            <w:gridSpan w:val="3"/>
            <w:tcBorders>
              <w:top w:val="single" w:color="00000A" w:sz="8" w:space="0"/>
              <w:left w:val="nil"/>
              <w:bottom w:val="single" w:color="00000A" w:sz="8" w:space="0"/>
              <w:right w:val="single" w:color="000001" w:sz="8" w:space="0"/>
            </w:tcBorders>
            <w:shd w:val="clear" w:color="auto" w:fill="FFFFFF"/>
            <w:tcMar>
              <w:top w:w="0" w:type="dxa"/>
              <w:left w:w="0" w:type="dxa"/>
              <w:bottom w:w="0" w:type="dxa"/>
              <w:right w:w="115" w:type="dxa"/>
            </w:tcMar>
            <w:vAlign w:val="center"/>
          </w:tcPr>
          <w:p w14:paraId="347E4F8D">
            <w:pPr>
              <w:widowControl/>
              <w:spacing w:line="560" w:lineRule="exact"/>
              <w:jc w:val="center"/>
              <w:rPr>
                <w:rFonts w:ascii="宋体" w:hAnsi="宋体" w:eastAsia="宋体" w:cs="宋体"/>
                <w:kern w:val="0"/>
                <w:sz w:val="20"/>
                <w:szCs w:val="20"/>
              </w:rPr>
            </w:pPr>
            <w:r>
              <w:rPr>
                <w:rFonts w:hint="eastAsia" w:ascii="仿宋_GB2312" w:hAnsi="Calibri" w:eastAsia="仿宋_GB2312" w:cs="宋体"/>
                <w:color w:val="000000"/>
                <w:kern w:val="0"/>
                <w:sz w:val="20"/>
                <w:szCs w:val="20"/>
              </w:rPr>
              <w:t>0</w:t>
            </w:r>
          </w:p>
        </w:tc>
      </w:tr>
    </w:tbl>
    <w:p w14:paraId="20FD6CC6">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ascii="黑体" w:hAnsi="黑体" w:eastAsia="黑体" w:cs="黑体"/>
          <w:bCs/>
          <w:color w:val="333333"/>
          <w:spacing w:val="0"/>
          <w:kern w:val="0"/>
          <w:sz w:val="32"/>
          <w:szCs w:val="32"/>
          <w:shd w:val="clear" w:color="auto" w:fill="FFFFFF"/>
          <w:lang w:bidi="ar"/>
        </w:rPr>
      </w:pPr>
      <w:r>
        <w:rPr>
          <w:rFonts w:hint="eastAsia" w:ascii="黑体" w:hAnsi="黑体" w:eastAsia="黑体" w:cs="黑体"/>
          <w:bCs/>
          <w:color w:val="333333"/>
          <w:spacing w:val="0"/>
          <w:kern w:val="0"/>
          <w:sz w:val="32"/>
          <w:szCs w:val="32"/>
          <w:shd w:val="clear" w:color="auto" w:fill="FFFFFF"/>
          <w:lang w:bidi="ar"/>
        </w:rPr>
        <w:t>三、收到和处理政府信息公开申请情况</w:t>
      </w:r>
    </w:p>
    <w:tbl>
      <w:tblPr>
        <w:tblStyle w:val="12"/>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64F98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14:paraId="23AED80B">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351DCB4">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54" w:type="dxa"/>
            <w:gridSpan w:val="7"/>
            <w:shd w:val="clear" w:color="auto" w:fill="auto"/>
            <w:tcMar>
              <w:left w:w="108" w:type="dxa"/>
              <w:right w:w="108" w:type="dxa"/>
            </w:tcMar>
            <w:vAlign w:val="center"/>
          </w:tcPr>
          <w:p w14:paraId="789108D9">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9542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14:paraId="018552F1">
            <w:pPr>
              <w:jc w:val="center"/>
              <w:rPr>
                <w:rFonts w:ascii="仿宋_GB2312" w:eastAsia="仿宋_GB2312"/>
                <w:szCs w:val="21"/>
              </w:rPr>
            </w:pPr>
          </w:p>
        </w:tc>
        <w:tc>
          <w:tcPr>
            <w:tcW w:w="752" w:type="dxa"/>
            <w:vMerge w:val="restart"/>
            <w:shd w:val="clear" w:color="auto" w:fill="auto"/>
            <w:tcMar>
              <w:left w:w="108" w:type="dxa"/>
              <w:right w:w="108" w:type="dxa"/>
            </w:tcMar>
            <w:vAlign w:val="center"/>
          </w:tcPr>
          <w:p w14:paraId="799B209C">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shd w:val="clear" w:color="auto" w:fill="auto"/>
            <w:tcMar>
              <w:left w:w="108" w:type="dxa"/>
              <w:right w:w="108" w:type="dxa"/>
            </w:tcMar>
            <w:vAlign w:val="center"/>
          </w:tcPr>
          <w:p w14:paraId="374A1137">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4F3809F2">
            <w:pPr>
              <w:widowControl/>
              <w:jc w:val="center"/>
              <w:rPr>
                <w:rFonts w:ascii="黑体" w:hAnsi="黑体" w:eastAsia="黑体"/>
                <w:szCs w:val="21"/>
              </w:rPr>
            </w:pPr>
            <w:r>
              <w:rPr>
                <w:rFonts w:hint="eastAsia" w:ascii="黑体" w:hAnsi="黑体" w:eastAsia="黑体"/>
                <w:kern w:val="0"/>
                <w:szCs w:val="21"/>
              </w:rPr>
              <w:t>总计</w:t>
            </w:r>
          </w:p>
        </w:tc>
      </w:tr>
      <w:tr w14:paraId="69219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14:paraId="7E6C9CBF">
            <w:pPr>
              <w:jc w:val="center"/>
              <w:rPr>
                <w:rFonts w:ascii="仿宋_GB2312" w:eastAsia="仿宋_GB2312"/>
                <w:szCs w:val="21"/>
              </w:rPr>
            </w:pPr>
          </w:p>
        </w:tc>
        <w:tc>
          <w:tcPr>
            <w:tcW w:w="752" w:type="dxa"/>
            <w:vMerge w:val="continue"/>
            <w:shd w:val="clear" w:color="auto" w:fill="auto"/>
            <w:tcMar>
              <w:left w:w="108" w:type="dxa"/>
              <w:right w:w="108" w:type="dxa"/>
            </w:tcMar>
            <w:vAlign w:val="center"/>
          </w:tcPr>
          <w:p w14:paraId="3F8E07CD">
            <w:pPr>
              <w:jc w:val="center"/>
              <w:rPr>
                <w:rFonts w:ascii="黑体" w:hAnsi="黑体" w:eastAsia="黑体"/>
                <w:szCs w:val="21"/>
              </w:rPr>
            </w:pPr>
          </w:p>
        </w:tc>
        <w:tc>
          <w:tcPr>
            <w:tcW w:w="540" w:type="dxa"/>
            <w:shd w:val="clear" w:color="auto" w:fill="auto"/>
            <w:tcMar>
              <w:left w:w="108" w:type="dxa"/>
              <w:right w:w="108" w:type="dxa"/>
            </w:tcMar>
            <w:vAlign w:val="center"/>
          </w:tcPr>
          <w:p w14:paraId="1CB815FD">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464615B9">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7BAE73D1">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90E6CD4">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法律服务机构</w:t>
            </w:r>
          </w:p>
        </w:tc>
        <w:tc>
          <w:tcPr>
            <w:tcW w:w="526" w:type="dxa"/>
            <w:shd w:val="clear" w:color="auto" w:fill="auto"/>
            <w:tcMar>
              <w:left w:w="108" w:type="dxa"/>
              <w:right w:w="108" w:type="dxa"/>
            </w:tcMar>
            <w:vAlign w:val="center"/>
          </w:tcPr>
          <w:p w14:paraId="37F5D278">
            <w:pPr>
              <w:widowControl/>
              <w:spacing w:line="360" w:lineRule="exact"/>
              <w:ind w:left="-59" w:leftChars="-30" w:right="-127"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44498161">
            <w:pPr>
              <w:jc w:val="center"/>
              <w:rPr>
                <w:rFonts w:ascii="仿宋_GB2312" w:eastAsia="仿宋_GB2312"/>
                <w:szCs w:val="21"/>
              </w:rPr>
            </w:pPr>
          </w:p>
        </w:tc>
      </w:tr>
      <w:tr w14:paraId="48033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7D51495B">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52" w:type="dxa"/>
            <w:shd w:val="clear" w:color="auto" w:fill="auto"/>
            <w:tcMar>
              <w:left w:w="108" w:type="dxa"/>
              <w:right w:w="108" w:type="dxa"/>
            </w:tcMar>
            <w:vAlign w:val="center"/>
          </w:tcPr>
          <w:p w14:paraId="19DF59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34A3D3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42CF0B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C9E1FA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1C075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6C85995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0FE996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E7EA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13732679">
            <w:pPr>
              <w:widowControl/>
              <w:rPr>
                <w:rFonts w:ascii="黑体" w:hAnsi="黑体" w:eastAsia="黑体"/>
                <w:szCs w:val="21"/>
              </w:rPr>
            </w:pPr>
            <w:r>
              <w:rPr>
                <w:rFonts w:hint="eastAsia" w:ascii="黑体" w:hAnsi="黑体" w:eastAsia="黑体"/>
                <w:kern w:val="0"/>
                <w:szCs w:val="21"/>
              </w:rPr>
              <w:t>二、上年结转政府信息公开申请数量</w:t>
            </w:r>
          </w:p>
        </w:tc>
        <w:tc>
          <w:tcPr>
            <w:tcW w:w="752" w:type="dxa"/>
            <w:shd w:val="clear" w:color="auto" w:fill="auto"/>
            <w:tcMar>
              <w:left w:w="108" w:type="dxa"/>
              <w:right w:w="108" w:type="dxa"/>
            </w:tcMar>
            <w:vAlign w:val="center"/>
          </w:tcPr>
          <w:p w14:paraId="305E399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812BD8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868C3C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47449B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1396E6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AE835D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565D66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83BB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14:paraId="2E414C9F">
            <w:pPr>
              <w:widowControl/>
              <w:spacing w:after="180"/>
              <w:rPr>
                <w:rFonts w:ascii="黑体" w:hAnsi="黑体" w:eastAsia="黑体"/>
                <w:szCs w:val="21"/>
              </w:rPr>
            </w:pPr>
            <w:r>
              <w:rPr>
                <w:rFonts w:hint="eastAsia" w:ascii="黑体" w:hAnsi="黑体" w:eastAsia="黑体"/>
                <w:kern w:val="0"/>
                <w:szCs w:val="21"/>
              </w:rPr>
              <w:t>三、本年度办理结果</w:t>
            </w:r>
          </w:p>
        </w:tc>
        <w:tc>
          <w:tcPr>
            <w:tcW w:w="4672" w:type="dxa"/>
            <w:gridSpan w:val="2"/>
            <w:shd w:val="clear" w:color="auto" w:fill="auto"/>
            <w:tcMar>
              <w:left w:w="108" w:type="dxa"/>
              <w:right w:w="108" w:type="dxa"/>
            </w:tcMar>
            <w:vAlign w:val="center"/>
          </w:tcPr>
          <w:p w14:paraId="1F0C95AC">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14DB6E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51261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FD91BE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4F753C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B9519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26A79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A65889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65A2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2DED501">
            <w:pPr>
              <w:rPr>
                <w:rFonts w:ascii="黑体" w:hAnsi="黑体" w:eastAsia="黑体"/>
                <w:szCs w:val="21"/>
              </w:rPr>
            </w:pPr>
          </w:p>
        </w:tc>
        <w:tc>
          <w:tcPr>
            <w:tcW w:w="4672" w:type="dxa"/>
            <w:gridSpan w:val="2"/>
            <w:shd w:val="clear" w:color="auto" w:fill="auto"/>
            <w:tcMar>
              <w:left w:w="108" w:type="dxa"/>
              <w:right w:w="108" w:type="dxa"/>
            </w:tcMar>
            <w:vAlign w:val="center"/>
          </w:tcPr>
          <w:p w14:paraId="796A961A">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3BD8915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CDFEF9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88ED1F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62408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B27C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462F4F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094B05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5AF5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EF15E51">
            <w:pPr>
              <w:rPr>
                <w:rFonts w:ascii="黑体" w:hAnsi="黑体" w:eastAsia="黑体"/>
                <w:szCs w:val="21"/>
              </w:rPr>
            </w:pPr>
          </w:p>
        </w:tc>
        <w:tc>
          <w:tcPr>
            <w:tcW w:w="1699" w:type="dxa"/>
            <w:vMerge w:val="restart"/>
            <w:shd w:val="clear" w:color="auto" w:fill="auto"/>
            <w:tcMar>
              <w:left w:w="108" w:type="dxa"/>
              <w:right w:w="108" w:type="dxa"/>
            </w:tcMar>
            <w:vAlign w:val="center"/>
          </w:tcPr>
          <w:p w14:paraId="6E1FD70D">
            <w:pPr>
              <w:widowControl/>
              <w:spacing w:line="200" w:lineRule="exact"/>
              <w:ind w:left="-101" w:leftChars="-51"/>
              <w:rPr>
                <w:rFonts w:ascii="黑体" w:hAnsi="黑体" w:eastAsia="黑体"/>
                <w:szCs w:val="21"/>
              </w:rPr>
            </w:pPr>
            <w:r>
              <w:rPr>
                <w:rFonts w:hint="eastAsia" w:ascii="黑体" w:hAnsi="黑体" w:eastAsia="黑体"/>
                <w:kern w:val="0"/>
                <w:szCs w:val="21"/>
              </w:rPr>
              <w:t>（三）不予公开</w:t>
            </w:r>
          </w:p>
        </w:tc>
        <w:tc>
          <w:tcPr>
            <w:tcW w:w="2973" w:type="dxa"/>
            <w:shd w:val="clear" w:color="auto" w:fill="auto"/>
            <w:tcMar>
              <w:left w:w="108" w:type="dxa"/>
              <w:right w:w="108" w:type="dxa"/>
            </w:tcMar>
            <w:vAlign w:val="center"/>
          </w:tcPr>
          <w:p w14:paraId="34D6075C">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shd w:val="clear" w:color="auto" w:fill="auto"/>
            <w:tcMar>
              <w:left w:w="108" w:type="dxa"/>
              <w:right w:w="108" w:type="dxa"/>
            </w:tcMar>
            <w:vAlign w:val="center"/>
          </w:tcPr>
          <w:p w14:paraId="1528AD6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509AB3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14B05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976CA2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EB085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5C6B82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8BEC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59A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B7D7DF7">
            <w:pPr>
              <w:rPr>
                <w:rFonts w:ascii="黑体" w:hAnsi="黑体" w:eastAsia="黑体"/>
                <w:szCs w:val="21"/>
              </w:rPr>
            </w:pPr>
          </w:p>
        </w:tc>
        <w:tc>
          <w:tcPr>
            <w:tcW w:w="1699" w:type="dxa"/>
            <w:vMerge w:val="continue"/>
            <w:shd w:val="clear" w:color="auto" w:fill="auto"/>
            <w:tcMar>
              <w:left w:w="108" w:type="dxa"/>
              <w:right w:w="108" w:type="dxa"/>
            </w:tcMar>
            <w:vAlign w:val="center"/>
          </w:tcPr>
          <w:p w14:paraId="1F7B1186">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0C23A7AD">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52" w:type="dxa"/>
            <w:shd w:val="clear" w:color="auto" w:fill="auto"/>
            <w:tcMar>
              <w:left w:w="108" w:type="dxa"/>
              <w:right w:w="108" w:type="dxa"/>
            </w:tcMar>
            <w:vAlign w:val="center"/>
          </w:tcPr>
          <w:p w14:paraId="2081846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96632A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C12824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CDE8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F3996D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0AFAB0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5EA621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4E4A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02DDEE0">
            <w:pPr>
              <w:rPr>
                <w:rFonts w:ascii="黑体" w:hAnsi="黑体" w:eastAsia="黑体"/>
                <w:szCs w:val="21"/>
              </w:rPr>
            </w:pPr>
          </w:p>
        </w:tc>
        <w:tc>
          <w:tcPr>
            <w:tcW w:w="1699" w:type="dxa"/>
            <w:vMerge w:val="continue"/>
            <w:shd w:val="clear" w:color="auto" w:fill="auto"/>
            <w:tcMar>
              <w:left w:w="108" w:type="dxa"/>
              <w:right w:w="108" w:type="dxa"/>
            </w:tcMar>
            <w:vAlign w:val="center"/>
          </w:tcPr>
          <w:p w14:paraId="0636432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13D6CF2F">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shd w:val="clear" w:color="auto" w:fill="auto"/>
            <w:tcMar>
              <w:left w:w="108" w:type="dxa"/>
              <w:right w:w="108" w:type="dxa"/>
            </w:tcMar>
            <w:vAlign w:val="center"/>
          </w:tcPr>
          <w:p w14:paraId="490E7F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A15C58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4CEE7D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26E284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6A48C1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8ED4CB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8C6E72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F4C1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A891157">
            <w:pPr>
              <w:rPr>
                <w:rFonts w:ascii="黑体" w:hAnsi="黑体" w:eastAsia="黑体"/>
                <w:szCs w:val="21"/>
              </w:rPr>
            </w:pPr>
          </w:p>
        </w:tc>
        <w:tc>
          <w:tcPr>
            <w:tcW w:w="1699" w:type="dxa"/>
            <w:vMerge w:val="continue"/>
            <w:shd w:val="clear" w:color="auto" w:fill="auto"/>
            <w:tcMar>
              <w:left w:w="108" w:type="dxa"/>
              <w:right w:w="108" w:type="dxa"/>
            </w:tcMar>
            <w:vAlign w:val="center"/>
          </w:tcPr>
          <w:p w14:paraId="7145CF2F">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CD7B734">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52" w:type="dxa"/>
            <w:shd w:val="clear" w:color="auto" w:fill="auto"/>
            <w:tcMar>
              <w:left w:w="108" w:type="dxa"/>
              <w:right w:w="108" w:type="dxa"/>
            </w:tcMar>
            <w:vAlign w:val="center"/>
          </w:tcPr>
          <w:p w14:paraId="6BFC861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C2B098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DF13E5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67CE2E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175535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C65BA4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DC7A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B217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4AE16FF">
            <w:pPr>
              <w:rPr>
                <w:rFonts w:ascii="黑体" w:hAnsi="黑体" w:eastAsia="黑体"/>
                <w:szCs w:val="21"/>
              </w:rPr>
            </w:pPr>
          </w:p>
        </w:tc>
        <w:tc>
          <w:tcPr>
            <w:tcW w:w="1699" w:type="dxa"/>
            <w:vMerge w:val="continue"/>
            <w:shd w:val="clear" w:color="auto" w:fill="auto"/>
            <w:tcMar>
              <w:left w:w="108" w:type="dxa"/>
              <w:right w:w="108" w:type="dxa"/>
            </w:tcMar>
            <w:vAlign w:val="center"/>
          </w:tcPr>
          <w:p w14:paraId="6CB1F4DB">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7F250100">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shd w:val="clear" w:color="auto" w:fill="auto"/>
            <w:tcMar>
              <w:left w:w="108" w:type="dxa"/>
              <w:right w:w="108" w:type="dxa"/>
            </w:tcMar>
            <w:vAlign w:val="center"/>
          </w:tcPr>
          <w:p w14:paraId="4D07C62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78D2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FFBFCE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E1301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1FF3CA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66CEB5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60F17C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0581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56656F9">
            <w:pPr>
              <w:rPr>
                <w:rFonts w:ascii="黑体" w:hAnsi="黑体" w:eastAsia="黑体"/>
                <w:szCs w:val="21"/>
              </w:rPr>
            </w:pPr>
          </w:p>
        </w:tc>
        <w:tc>
          <w:tcPr>
            <w:tcW w:w="1699" w:type="dxa"/>
            <w:vMerge w:val="continue"/>
            <w:shd w:val="clear" w:color="auto" w:fill="auto"/>
            <w:tcMar>
              <w:left w:w="108" w:type="dxa"/>
              <w:right w:w="108" w:type="dxa"/>
            </w:tcMar>
            <w:vAlign w:val="center"/>
          </w:tcPr>
          <w:p w14:paraId="4FADCC69">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FAEBA9B">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52" w:type="dxa"/>
            <w:shd w:val="clear" w:color="auto" w:fill="auto"/>
            <w:tcMar>
              <w:left w:w="108" w:type="dxa"/>
              <w:right w:w="108" w:type="dxa"/>
            </w:tcMar>
            <w:vAlign w:val="center"/>
          </w:tcPr>
          <w:p w14:paraId="1C95A7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9DB107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AD4F48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638FEF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972B6B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DEEB3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EB5B80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A6B5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1C71B40">
            <w:pPr>
              <w:rPr>
                <w:rFonts w:ascii="黑体" w:hAnsi="黑体" w:eastAsia="黑体"/>
                <w:szCs w:val="21"/>
              </w:rPr>
            </w:pPr>
          </w:p>
        </w:tc>
        <w:tc>
          <w:tcPr>
            <w:tcW w:w="1699" w:type="dxa"/>
            <w:vMerge w:val="continue"/>
            <w:shd w:val="clear" w:color="auto" w:fill="auto"/>
            <w:tcMar>
              <w:left w:w="108" w:type="dxa"/>
              <w:right w:w="108" w:type="dxa"/>
            </w:tcMar>
            <w:vAlign w:val="center"/>
          </w:tcPr>
          <w:p w14:paraId="1BE34620">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01AF5AC">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shd w:val="clear" w:color="auto" w:fill="auto"/>
            <w:tcMar>
              <w:left w:w="108" w:type="dxa"/>
              <w:right w:w="108" w:type="dxa"/>
            </w:tcMar>
            <w:vAlign w:val="center"/>
          </w:tcPr>
          <w:p w14:paraId="2871EF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757E3A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B240E9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4CB61D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6238733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949440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2FF961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B3C6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DC5B816">
            <w:pPr>
              <w:rPr>
                <w:rFonts w:ascii="黑体" w:hAnsi="黑体" w:eastAsia="黑体"/>
                <w:szCs w:val="21"/>
              </w:rPr>
            </w:pPr>
          </w:p>
        </w:tc>
        <w:tc>
          <w:tcPr>
            <w:tcW w:w="1699" w:type="dxa"/>
            <w:vMerge w:val="continue"/>
            <w:shd w:val="clear" w:color="auto" w:fill="auto"/>
            <w:tcMar>
              <w:left w:w="108" w:type="dxa"/>
              <w:right w:w="108" w:type="dxa"/>
            </w:tcMar>
            <w:vAlign w:val="center"/>
          </w:tcPr>
          <w:p w14:paraId="3E9D8973">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479D9DD2">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52" w:type="dxa"/>
            <w:shd w:val="clear" w:color="auto" w:fill="auto"/>
            <w:tcMar>
              <w:left w:w="108" w:type="dxa"/>
              <w:right w:w="108" w:type="dxa"/>
            </w:tcMar>
            <w:vAlign w:val="center"/>
          </w:tcPr>
          <w:p w14:paraId="214E651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4D4E5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A9F78B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EEB884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328B0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7D32A9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CCC0D9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21FE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BD61293">
            <w:pPr>
              <w:rPr>
                <w:rFonts w:ascii="黑体" w:hAnsi="黑体" w:eastAsia="黑体"/>
                <w:szCs w:val="21"/>
              </w:rPr>
            </w:pPr>
          </w:p>
        </w:tc>
        <w:tc>
          <w:tcPr>
            <w:tcW w:w="1699" w:type="dxa"/>
            <w:vMerge w:val="restart"/>
            <w:shd w:val="clear" w:color="auto" w:fill="auto"/>
            <w:tcMar>
              <w:left w:w="108" w:type="dxa"/>
              <w:right w:w="108" w:type="dxa"/>
            </w:tcMar>
            <w:vAlign w:val="center"/>
          </w:tcPr>
          <w:p w14:paraId="227E6414">
            <w:pPr>
              <w:widowControl/>
              <w:spacing w:line="200" w:lineRule="exact"/>
              <w:ind w:left="-101" w:leftChars="-51"/>
              <w:rPr>
                <w:rFonts w:ascii="黑体" w:hAnsi="黑体" w:eastAsia="黑体"/>
                <w:szCs w:val="21"/>
              </w:rPr>
            </w:pPr>
            <w:r>
              <w:rPr>
                <w:rFonts w:hint="eastAsia" w:ascii="黑体" w:hAnsi="黑体" w:eastAsia="黑体"/>
                <w:kern w:val="0"/>
                <w:szCs w:val="21"/>
              </w:rPr>
              <w:t>（四）无法提供</w:t>
            </w:r>
          </w:p>
        </w:tc>
        <w:tc>
          <w:tcPr>
            <w:tcW w:w="2973" w:type="dxa"/>
            <w:shd w:val="clear" w:color="auto" w:fill="auto"/>
            <w:tcMar>
              <w:left w:w="108" w:type="dxa"/>
              <w:right w:w="108" w:type="dxa"/>
            </w:tcMar>
            <w:vAlign w:val="center"/>
          </w:tcPr>
          <w:p w14:paraId="508A0A84">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shd w:val="clear" w:color="auto" w:fill="auto"/>
            <w:tcMar>
              <w:left w:w="108" w:type="dxa"/>
              <w:right w:w="108" w:type="dxa"/>
            </w:tcMar>
            <w:vAlign w:val="center"/>
          </w:tcPr>
          <w:p w14:paraId="628C1B8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632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A26171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3B71F7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E40DE9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442497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4E615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7DC6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71A43A5">
            <w:pPr>
              <w:rPr>
                <w:rFonts w:ascii="黑体" w:hAnsi="黑体" w:eastAsia="黑体"/>
                <w:szCs w:val="21"/>
              </w:rPr>
            </w:pPr>
          </w:p>
        </w:tc>
        <w:tc>
          <w:tcPr>
            <w:tcW w:w="1699" w:type="dxa"/>
            <w:vMerge w:val="continue"/>
            <w:shd w:val="clear" w:color="auto" w:fill="auto"/>
            <w:tcMar>
              <w:left w:w="108" w:type="dxa"/>
              <w:right w:w="108" w:type="dxa"/>
            </w:tcMar>
            <w:vAlign w:val="center"/>
          </w:tcPr>
          <w:p w14:paraId="18BCF176">
            <w:pPr>
              <w:spacing w:line="200" w:lineRule="exact"/>
              <w:ind w:left="-101" w:leftChars="-51"/>
              <w:rPr>
                <w:rFonts w:ascii="黑体" w:hAnsi="黑体" w:eastAsia="黑体"/>
                <w:szCs w:val="21"/>
              </w:rPr>
            </w:pPr>
          </w:p>
        </w:tc>
        <w:tc>
          <w:tcPr>
            <w:tcW w:w="2973" w:type="dxa"/>
            <w:shd w:val="clear" w:color="auto" w:fill="auto"/>
            <w:tcMar>
              <w:left w:w="108" w:type="dxa"/>
              <w:right w:w="108" w:type="dxa"/>
            </w:tcMar>
            <w:vAlign w:val="center"/>
          </w:tcPr>
          <w:p w14:paraId="1C49A243">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52" w:type="dxa"/>
            <w:shd w:val="clear" w:color="auto" w:fill="auto"/>
            <w:tcMar>
              <w:left w:w="108" w:type="dxa"/>
              <w:right w:w="108" w:type="dxa"/>
            </w:tcMar>
            <w:vAlign w:val="center"/>
          </w:tcPr>
          <w:p w14:paraId="0D1B841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A665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EF8394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BCAEB2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CB4DD8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C1D710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2898DF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D5E7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5184F3E">
            <w:pPr>
              <w:rPr>
                <w:rFonts w:ascii="黑体" w:hAnsi="黑体" w:eastAsia="黑体"/>
                <w:szCs w:val="21"/>
              </w:rPr>
            </w:pPr>
          </w:p>
        </w:tc>
        <w:tc>
          <w:tcPr>
            <w:tcW w:w="1699" w:type="dxa"/>
            <w:vMerge w:val="continue"/>
            <w:shd w:val="clear" w:color="auto" w:fill="auto"/>
            <w:tcMar>
              <w:left w:w="108" w:type="dxa"/>
              <w:right w:w="108" w:type="dxa"/>
            </w:tcMar>
            <w:vAlign w:val="center"/>
          </w:tcPr>
          <w:p w14:paraId="2DA1F316">
            <w:pPr>
              <w:spacing w:line="200" w:lineRule="exact"/>
              <w:ind w:left="-101" w:leftChars="-51"/>
              <w:rPr>
                <w:rFonts w:ascii="黑体" w:hAnsi="黑体" w:eastAsia="黑体"/>
                <w:szCs w:val="21"/>
              </w:rPr>
            </w:pPr>
          </w:p>
        </w:tc>
        <w:tc>
          <w:tcPr>
            <w:tcW w:w="2973" w:type="dxa"/>
            <w:shd w:val="clear" w:color="auto" w:fill="auto"/>
            <w:tcMar>
              <w:left w:w="108" w:type="dxa"/>
              <w:right w:w="108" w:type="dxa"/>
            </w:tcMar>
            <w:vAlign w:val="center"/>
          </w:tcPr>
          <w:p w14:paraId="65BAAAF1">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52" w:type="dxa"/>
            <w:shd w:val="clear" w:color="auto" w:fill="auto"/>
            <w:tcMar>
              <w:left w:w="108" w:type="dxa"/>
              <w:right w:w="108" w:type="dxa"/>
            </w:tcMar>
            <w:vAlign w:val="center"/>
          </w:tcPr>
          <w:p w14:paraId="378895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FCDDE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1F9087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AAF375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AB9CD0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256539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DAF278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EA5B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4FCE14C5">
            <w:pPr>
              <w:rPr>
                <w:rFonts w:ascii="黑体" w:hAnsi="黑体" w:eastAsia="黑体"/>
                <w:szCs w:val="21"/>
              </w:rPr>
            </w:pPr>
          </w:p>
        </w:tc>
        <w:tc>
          <w:tcPr>
            <w:tcW w:w="1699" w:type="dxa"/>
            <w:vMerge w:val="restart"/>
            <w:shd w:val="clear" w:color="auto" w:fill="auto"/>
            <w:tcMar>
              <w:left w:w="108" w:type="dxa"/>
              <w:right w:w="108" w:type="dxa"/>
            </w:tcMar>
            <w:vAlign w:val="center"/>
          </w:tcPr>
          <w:p w14:paraId="6DB2176A">
            <w:pPr>
              <w:widowControl/>
              <w:spacing w:line="200" w:lineRule="exact"/>
              <w:ind w:left="-101" w:leftChars="-51"/>
              <w:rPr>
                <w:rFonts w:ascii="黑体" w:hAnsi="黑体" w:eastAsia="黑体"/>
                <w:szCs w:val="21"/>
              </w:rPr>
            </w:pPr>
            <w:r>
              <w:rPr>
                <w:rFonts w:hint="eastAsia" w:ascii="黑体" w:hAnsi="黑体" w:eastAsia="黑体"/>
                <w:kern w:val="0"/>
                <w:szCs w:val="21"/>
              </w:rPr>
              <w:t>（五）不予处理</w:t>
            </w:r>
          </w:p>
        </w:tc>
        <w:tc>
          <w:tcPr>
            <w:tcW w:w="2973" w:type="dxa"/>
            <w:shd w:val="clear" w:color="auto" w:fill="auto"/>
            <w:tcMar>
              <w:left w:w="108" w:type="dxa"/>
              <w:right w:w="108" w:type="dxa"/>
            </w:tcMar>
            <w:vAlign w:val="center"/>
          </w:tcPr>
          <w:p w14:paraId="189F65D6">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52" w:type="dxa"/>
            <w:shd w:val="clear" w:color="auto" w:fill="auto"/>
            <w:tcMar>
              <w:left w:w="108" w:type="dxa"/>
              <w:right w:w="108" w:type="dxa"/>
            </w:tcMar>
            <w:vAlign w:val="center"/>
          </w:tcPr>
          <w:p w14:paraId="1AF997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6C8409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CD1B9A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7F3785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8CC49E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AD1B3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523CA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F2E0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1823BA2">
            <w:pPr>
              <w:rPr>
                <w:rFonts w:ascii="黑体" w:hAnsi="黑体" w:eastAsia="黑体"/>
                <w:szCs w:val="21"/>
              </w:rPr>
            </w:pPr>
          </w:p>
        </w:tc>
        <w:tc>
          <w:tcPr>
            <w:tcW w:w="1699" w:type="dxa"/>
            <w:vMerge w:val="continue"/>
            <w:shd w:val="clear" w:color="auto" w:fill="auto"/>
            <w:tcMar>
              <w:left w:w="108" w:type="dxa"/>
              <w:right w:w="108" w:type="dxa"/>
            </w:tcMar>
            <w:vAlign w:val="center"/>
          </w:tcPr>
          <w:p w14:paraId="7E6378D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96EB84B">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shd w:val="clear" w:color="auto" w:fill="auto"/>
            <w:tcMar>
              <w:left w:w="108" w:type="dxa"/>
              <w:right w:w="108" w:type="dxa"/>
            </w:tcMar>
            <w:vAlign w:val="center"/>
          </w:tcPr>
          <w:p w14:paraId="074C6E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8ADC0C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0EF47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A100E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986C3D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4B12B7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B6F9F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0F73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8C7DFD0">
            <w:pPr>
              <w:rPr>
                <w:rFonts w:ascii="黑体" w:hAnsi="黑体" w:eastAsia="黑体"/>
                <w:szCs w:val="21"/>
              </w:rPr>
            </w:pPr>
          </w:p>
        </w:tc>
        <w:tc>
          <w:tcPr>
            <w:tcW w:w="1699" w:type="dxa"/>
            <w:vMerge w:val="continue"/>
            <w:shd w:val="clear" w:color="auto" w:fill="auto"/>
            <w:tcMar>
              <w:left w:w="108" w:type="dxa"/>
              <w:right w:w="108" w:type="dxa"/>
            </w:tcMar>
            <w:vAlign w:val="center"/>
          </w:tcPr>
          <w:p w14:paraId="2EACB08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DBF966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shd w:val="clear" w:color="auto" w:fill="auto"/>
            <w:tcMar>
              <w:left w:w="108" w:type="dxa"/>
              <w:right w:w="108" w:type="dxa"/>
            </w:tcMar>
            <w:vAlign w:val="center"/>
          </w:tcPr>
          <w:p w14:paraId="66014A3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09ACE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4045BE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5D2A3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6E55982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7A6AFFF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44D18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5B5C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592B3317">
            <w:pPr>
              <w:rPr>
                <w:rFonts w:ascii="黑体" w:hAnsi="黑体" w:eastAsia="黑体"/>
                <w:szCs w:val="21"/>
              </w:rPr>
            </w:pPr>
          </w:p>
        </w:tc>
        <w:tc>
          <w:tcPr>
            <w:tcW w:w="1699" w:type="dxa"/>
            <w:vMerge w:val="continue"/>
            <w:shd w:val="clear" w:color="auto" w:fill="auto"/>
            <w:tcMar>
              <w:left w:w="108" w:type="dxa"/>
              <w:right w:w="108" w:type="dxa"/>
            </w:tcMar>
            <w:vAlign w:val="center"/>
          </w:tcPr>
          <w:p w14:paraId="30FE0D49">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7302322E">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shd w:val="clear" w:color="auto" w:fill="auto"/>
            <w:tcMar>
              <w:left w:w="108" w:type="dxa"/>
              <w:right w:w="108" w:type="dxa"/>
            </w:tcMar>
            <w:vAlign w:val="center"/>
          </w:tcPr>
          <w:p w14:paraId="3BBC14D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011F6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70AF0D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4D639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0AEE9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74AAE9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156C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3DB5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C14B96D">
            <w:pPr>
              <w:rPr>
                <w:rFonts w:ascii="黑体" w:hAnsi="黑体" w:eastAsia="黑体"/>
                <w:szCs w:val="21"/>
              </w:rPr>
            </w:pPr>
          </w:p>
        </w:tc>
        <w:tc>
          <w:tcPr>
            <w:tcW w:w="1699" w:type="dxa"/>
            <w:vMerge w:val="continue"/>
            <w:shd w:val="clear" w:color="auto" w:fill="auto"/>
            <w:tcMar>
              <w:left w:w="108" w:type="dxa"/>
              <w:right w:w="108" w:type="dxa"/>
            </w:tcMar>
            <w:vAlign w:val="center"/>
          </w:tcPr>
          <w:p w14:paraId="22974F54">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04D1D109">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7B5C3D88">
            <w:pPr>
              <w:widowControl/>
              <w:spacing w:line="300" w:lineRule="exact"/>
              <w:ind w:firstLine="199"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52" w:type="dxa"/>
            <w:shd w:val="clear" w:color="auto" w:fill="auto"/>
            <w:tcMar>
              <w:left w:w="108" w:type="dxa"/>
              <w:right w:w="108" w:type="dxa"/>
            </w:tcMar>
            <w:vAlign w:val="center"/>
          </w:tcPr>
          <w:p w14:paraId="0AA8CE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BED2AB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027021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0EA40B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1D54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7D2B71B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8E45C1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E7F1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B619AE8">
            <w:pPr>
              <w:rPr>
                <w:rFonts w:ascii="黑体" w:hAnsi="黑体" w:eastAsia="黑体"/>
                <w:szCs w:val="21"/>
              </w:rPr>
            </w:pPr>
          </w:p>
        </w:tc>
        <w:tc>
          <w:tcPr>
            <w:tcW w:w="1699" w:type="dxa"/>
            <w:vMerge w:val="restart"/>
            <w:shd w:val="clear" w:color="auto" w:fill="auto"/>
            <w:tcMar>
              <w:left w:w="108" w:type="dxa"/>
              <w:right w:w="108" w:type="dxa"/>
            </w:tcMar>
            <w:vAlign w:val="center"/>
          </w:tcPr>
          <w:p w14:paraId="42844C01">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3" w:type="dxa"/>
            <w:shd w:val="clear" w:color="auto" w:fill="auto"/>
            <w:vAlign w:val="center"/>
          </w:tcPr>
          <w:p w14:paraId="264A926F">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52" w:type="dxa"/>
            <w:shd w:val="clear" w:color="auto" w:fill="auto"/>
            <w:tcMar>
              <w:left w:w="108" w:type="dxa"/>
              <w:right w:w="108" w:type="dxa"/>
            </w:tcMar>
            <w:vAlign w:val="center"/>
          </w:tcPr>
          <w:p w14:paraId="36A263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5B978A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CD7668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81794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55D4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645DD8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F7FEE5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AD5F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515A7DE">
            <w:pPr>
              <w:rPr>
                <w:rFonts w:ascii="黑体" w:hAnsi="黑体" w:eastAsia="黑体"/>
                <w:szCs w:val="21"/>
              </w:rPr>
            </w:pPr>
          </w:p>
        </w:tc>
        <w:tc>
          <w:tcPr>
            <w:tcW w:w="1699" w:type="dxa"/>
            <w:vMerge w:val="continue"/>
            <w:shd w:val="clear" w:color="auto" w:fill="auto"/>
            <w:tcMar>
              <w:left w:w="108" w:type="dxa"/>
              <w:right w:w="108" w:type="dxa"/>
            </w:tcMar>
            <w:vAlign w:val="center"/>
          </w:tcPr>
          <w:p w14:paraId="5588DC00">
            <w:pPr>
              <w:widowControl/>
              <w:spacing w:line="300" w:lineRule="exact"/>
              <w:rPr>
                <w:rFonts w:ascii="黑体" w:hAnsi="黑体" w:eastAsia="黑体"/>
                <w:kern w:val="0"/>
                <w:szCs w:val="21"/>
              </w:rPr>
            </w:pPr>
          </w:p>
        </w:tc>
        <w:tc>
          <w:tcPr>
            <w:tcW w:w="2973" w:type="dxa"/>
            <w:shd w:val="clear" w:color="auto" w:fill="auto"/>
            <w:vAlign w:val="center"/>
          </w:tcPr>
          <w:p w14:paraId="7FE95732">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46E1E26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0B4C31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BE78A6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2BE26E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CBE2B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EDA768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E900E8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61A7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21EFC63">
            <w:pPr>
              <w:rPr>
                <w:rFonts w:ascii="黑体" w:hAnsi="黑体" w:eastAsia="黑体"/>
                <w:szCs w:val="21"/>
              </w:rPr>
            </w:pPr>
          </w:p>
        </w:tc>
        <w:tc>
          <w:tcPr>
            <w:tcW w:w="1699" w:type="dxa"/>
            <w:vMerge w:val="continue"/>
            <w:shd w:val="clear" w:color="auto" w:fill="auto"/>
            <w:tcMar>
              <w:left w:w="108" w:type="dxa"/>
              <w:right w:w="108" w:type="dxa"/>
            </w:tcMar>
            <w:vAlign w:val="center"/>
          </w:tcPr>
          <w:p w14:paraId="763E17CD">
            <w:pPr>
              <w:widowControl/>
              <w:spacing w:line="300" w:lineRule="exact"/>
              <w:rPr>
                <w:rFonts w:ascii="黑体" w:hAnsi="黑体" w:eastAsia="黑体"/>
                <w:kern w:val="0"/>
                <w:szCs w:val="21"/>
              </w:rPr>
            </w:pPr>
          </w:p>
        </w:tc>
        <w:tc>
          <w:tcPr>
            <w:tcW w:w="2973" w:type="dxa"/>
            <w:shd w:val="clear" w:color="auto" w:fill="auto"/>
            <w:vAlign w:val="center"/>
          </w:tcPr>
          <w:p w14:paraId="1693DAC7">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52" w:type="dxa"/>
            <w:shd w:val="clear" w:color="auto" w:fill="auto"/>
            <w:tcMar>
              <w:left w:w="108" w:type="dxa"/>
              <w:right w:w="108" w:type="dxa"/>
            </w:tcMar>
            <w:vAlign w:val="center"/>
          </w:tcPr>
          <w:p w14:paraId="5E434B3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A9F13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8507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0F4C0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9CBACC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D63DA2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21A4D0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2F2E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47D624F">
            <w:pPr>
              <w:rPr>
                <w:rFonts w:ascii="黑体" w:hAnsi="黑体" w:eastAsia="黑体"/>
                <w:szCs w:val="21"/>
              </w:rPr>
            </w:pPr>
          </w:p>
        </w:tc>
        <w:tc>
          <w:tcPr>
            <w:tcW w:w="4672" w:type="dxa"/>
            <w:gridSpan w:val="2"/>
            <w:shd w:val="clear" w:color="auto" w:fill="auto"/>
            <w:tcMar>
              <w:left w:w="108" w:type="dxa"/>
              <w:right w:w="108" w:type="dxa"/>
            </w:tcMar>
            <w:vAlign w:val="center"/>
          </w:tcPr>
          <w:p w14:paraId="3EE06810">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52" w:type="dxa"/>
            <w:shd w:val="clear" w:color="auto" w:fill="auto"/>
            <w:tcMar>
              <w:left w:w="108" w:type="dxa"/>
              <w:right w:w="108" w:type="dxa"/>
            </w:tcMar>
            <w:vAlign w:val="center"/>
          </w:tcPr>
          <w:p w14:paraId="7F9DCF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7A21A9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4ED0E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0F884B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1A466F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3F34D0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091AAC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89DE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shd w:val="clear" w:color="auto" w:fill="auto"/>
            <w:tcMar>
              <w:left w:w="108" w:type="dxa"/>
              <w:right w:w="108" w:type="dxa"/>
            </w:tcMar>
            <w:vAlign w:val="center"/>
          </w:tcPr>
          <w:p w14:paraId="22543D64">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52" w:type="dxa"/>
            <w:shd w:val="clear" w:color="auto" w:fill="auto"/>
            <w:tcMar>
              <w:left w:w="108" w:type="dxa"/>
              <w:right w:w="108" w:type="dxa"/>
            </w:tcMar>
            <w:vAlign w:val="center"/>
          </w:tcPr>
          <w:p w14:paraId="48C4119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7B0232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C2C448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3C8BE6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E553BA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17CFA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18F18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bl>
    <w:p w14:paraId="55BE1122">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ascii="仿宋_GB2312" w:eastAsia="仿宋_GB2312"/>
          <w:spacing w:val="0"/>
          <w:sz w:val="32"/>
          <w:szCs w:val="32"/>
        </w:rPr>
      </w:pPr>
      <w:r>
        <w:rPr>
          <w:rFonts w:hint="eastAsia" w:ascii="黑体" w:hAnsi="黑体" w:eastAsia="黑体" w:cs="黑体"/>
          <w:bCs/>
          <w:color w:val="333333"/>
          <w:spacing w:val="0"/>
          <w:kern w:val="0"/>
          <w:sz w:val="32"/>
          <w:szCs w:val="32"/>
          <w:shd w:val="clear" w:color="auto" w:fill="FFFFFF"/>
          <w:lang w:bidi="ar"/>
        </w:rPr>
        <w:t>四、政府信息公开行政复议、行政诉讼情况</w:t>
      </w:r>
    </w:p>
    <w:tbl>
      <w:tblPr>
        <w:tblStyle w:val="12"/>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1437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F7609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999CFC">
            <w:pPr>
              <w:widowControl/>
              <w:jc w:val="center"/>
              <w:rPr>
                <w:rFonts w:ascii="黑体" w:hAnsi="黑体" w:eastAsia="黑体"/>
              </w:rPr>
            </w:pPr>
            <w:r>
              <w:rPr>
                <w:rFonts w:ascii="黑体" w:hAnsi="黑体" w:eastAsia="黑体"/>
                <w:kern w:val="0"/>
                <w:sz w:val="20"/>
              </w:rPr>
              <w:t>行政诉讼</w:t>
            </w:r>
          </w:p>
        </w:tc>
      </w:tr>
      <w:tr w14:paraId="722AA9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4B88B4">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19DC4749">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D48D9A3">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17E85D">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9B9230">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6D90335D">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ABFEF3">
            <w:pPr>
              <w:widowControl/>
              <w:spacing w:line="320" w:lineRule="exact"/>
              <w:jc w:val="center"/>
              <w:rPr>
                <w:rFonts w:ascii="黑体" w:hAnsi="黑体" w:eastAsia="黑体"/>
                <w:kern w:val="0"/>
                <w:sz w:val="20"/>
              </w:rPr>
            </w:pPr>
            <w:r>
              <w:rPr>
                <w:rFonts w:ascii="黑体" w:hAnsi="黑体" w:eastAsia="黑体"/>
                <w:kern w:val="0"/>
                <w:sz w:val="20"/>
              </w:rPr>
              <w:t>总</w:t>
            </w:r>
          </w:p>
          <w:p w14:paraId="41FA97BA">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619EDC">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CF0DAD">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6C700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B63BB7">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7D0C85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EA8616">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43DF19">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E190BA">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6EA7993">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C53F825">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4D8B22">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44C34A6A">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77FD00">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23631C64">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D1F1DF">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0067E8">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28EF16">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61B2CC2A">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91F3ED">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225E8145">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C0ECD0">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39033E">
            <w:pPr>
              <w:widowControl/>
              <w:jc w:val="center"/>
              <w:rPr>
                <w:rFonts w:ascii="黑体" w:hAnsi="黑体" w:eastAsia="黑体"/>
              </w:rPr>
            </w:pPr>
            <w:r>
              <w:rPr>
                <w:rFonts w:ascii="黑体" w:hAnsi="黑体" w:eastAsia="黑体"/>
                <w:kern w:val="0"/>
                <w:sz w:val="20"/>
              </w:rPr>
              <w:t>总计</w:t>
            </w:r>
          </w:p>
        </w:tc>
      </w:tr>
      <w:tr w14:paraId="2A46CB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B8AFB7">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B96C668">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3AB5966">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1065CAD">
            <w:pPr>
              <w:widowControl/>
              <w:spacing w:after="180"/>
              <w:jc w:val="center"/>
            </w:pPr>
            <w:r>
              <w:rPr>
                <w:rFonts w:hint="eastAsia"/>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101BA2F4">
            <w:pPr>
              <w:widowControl/>
              <w:spacing w:after="180"/>
              <w:jc w:val="center"/>
            </w:pPr>
            <w:r>
              <w:rPr>
                <w:rFonts w:hint="eastAsia"/>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6F96E2D">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4B20254">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623622">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E3405C5">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46C355">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F8677AF">
            <w:pPr>
              <w:widowControl/>
              <w:spacing w:after="180"/>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0431120">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66586D9">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B9A20F0">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2067CF5">
            <w:pPr>
              <w:widowControl/>
              <w:spacing w:after="180"/>
              <w:jc w:val="center"/>
            </w:pPr>
            <w:r>
              <w:rPr>
                <w:rFonts w:hint="eastAsia"/>
              </w:rPr>
              <w:t>0</w:t>
            </w:r>
          </w:p>
        </w:tc>
      </w:tr>
    </w:tbl>
    <w:p w14:paraId="0D641DF6">
      <w:pPr>
        <w:pStyle w:val="10"/>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auto"/>
          <w:spacing w:val="0"/>
          <w:sz w:val="32"/>
          <w:szCs w:val="32"/>
          <w:shd w:val="clear" w:color="auto" w:fill="FFFFFF"/>
          <w:lang w:bidi="ar"/>
        </w:rPr>
      </w:pPr>
      <w:r>
        <w:rPr>
          <w:rFonts w:hint="eastAsia" w:ascii="黑体" w:hAnsi="黑体" w:eastAsia="黑体" w:cs="黑体"/>
          <w:bCs/>
          <w:color w:val="auto"/>
          <w:spacing w:val="0"/>
          <w:sz w:val="32"/>
          <w:szCs w:val="32"/>
          <w:shd w:val="clear" w:color="auto" w:fill="FFFFFF"/>
          <w:lang w:bidi="ar"/>
        </w:rPr>
        <w:t>五、存在的主要问题及改进情况</w:t>
      </w:r>
    </w:p>
    <w:p w14:paraId="0EDBC77C">
      <w:pPr>
        <w:pStyle w:val="10"/>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2025年，虽然在政府信息公开工作取得了一定的成效，但仍存在一定的问题，主要表现为：信息公开时效性、实用性不足，部分公开内容不够全面深入，以及专业水平有待提升。下一步，我局将进一步强化信息公开时效性管理，确保政府信息及时准确发布，提高信息更新的频率和效率。细化政策解读，增加公开信息的广度和深度，满足多元化信息需求。加大政府信息公开培训力度，提升工作人员的专业素养和业务能力，为退役军人和其他优抚对象提供更加优质、高效的信息服务。</w:t>
      </w:r>
    </w:p>
    <w:p w14:paraId="49F097C6">
      <w:pPr>
        <w:pStyle w:val="10"/>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auto"/>
          <w:spacing w:val="0"/>
          <w:sz w:val="32"/>
          <w:szCs w:val="32"/>
          <w:shd w:val="clear" w:color="auto" w:fill="FFFFFF"/>
          <w:lang w:bidi="ar"/>
        </w:rPr>
      </w:pPr>
      <w:r>
        <w:rPr>
          <w:rFonts w:hint="eastAsia" w:ascii="黑体" w:hAnsi="黑体" w:eastAsia="黑体" w:cs="黑体"/>
          <w:bCs/>
          <w:color w:val="auto"/>
          <w:spacing w:val="0"/>
          <w:sz w:val="32"/>
          <w:szCs w:val="32"/>
          <w:shd w:val="clear" w:color="auto" w:fill="FFFFFF"/>
          <w:lang w:bidi="ar"/>
        </w:rPr>
        <w:t>六、其他需要报告的事项</w:t>
      </w:r>
    </w:p>
    <w:p w14:paraId="1B756BE5">
      <w:pPr>
        <w:keepNext w:val="0"/>
        <w:keepLines w:val="0"/>
        <w:pageBreakBefore w:val="0"/>
        <w:shd w:val="clear"/>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rPr>
        <w:t>（一）收取信息处理费情况</w:t>
      </w:r>
      <w:r>
        <w:rPr>
          <w:rFonts w:hint="eastAsia" w:ascii="楷体_GB2312" w:hAnsi="楷体_GB2312" w:eastAsia="楷体_GB2312" w:cs="楷体_GB2312"/>
          <w:color w:val="auto"/>
          <w:spacing w:val="0"/>
          <w:sz w:val="32"/>
          <w:szCs w:val="32"/>
          <w:lang w:eastAsia="zh-CN"/>
        </w:rPr>
        <w:t>。</w:t>
      </w:r>
    </w:p>
    <w:p w14:paraId="6FB070A2">
      <w:pPr>
        <w:keepNext w:val="0"/>
        <w:keepLines w:val="0"/>
        <w:pageBreakBefore w:val="0"/>
        <w:shd w:val="clear"/>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台儿庄</w:t>
      </w:r>
      <w:r>
        <w:rPr>
          <w:rFonts w:hint="eastAsia" w:ascii="仿宋_GB2312" w:hAnsi="仿宋_GB2312" w:eastAsia="仿宋_GB2312" w:cs="仿宋_GB2312"/>
          <w:color w:val="auto"/>
          <w:spacing w:val="0"/>
          <w:sz w:val="32"/>
          <w:szCs w:val="32"/>
        </w:rPr>
        <w:t>区退役军人事务局不存在因信息处理收取相关费用的情况。</w:t>
      </w:r>
    </w:p>
    <w:p w14:paraId="786C64CF">
      <w:pPr>
        <w:keepNext w:val="0"/>
        <w:keepLines w:val="0"/>
        <w:pageBreakBefore w:val="0"/>
        <w:shd w:val="clear"/>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rPr>
        <w:t>（二）落实上级年度政务公开工作要点情况</w:t>
      </w:r>
      <w:r>
        <w:rPr>
          <w:rFonts w:hint="eastAsia" w:ascii="楷体_GB2312" w:hAnsi="楷体_GB2312" w:eastAsia="楷体_GB2312" w:cs="楷体_GB2312"/>
          <w:color w:val="auto"/>
          <w:spacing w:val="0"/>
          <w:sz w:val="32"/>
          <w:szCs w:val="32"/>
          <w:lang w:eastAsia="zh-CN"/>
        </w:rPr>
        <w:t>。</w:t>
      </w:r>
    </w:p>
    <w:p w14:paraId="0DCBF986">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按照</w:t>
      </w:r>
      <w:r>
        <w:rPr>
          <w:rFonts w:hint="eastAsia" w:ascii="仿宋_GB2312" w:hAnsi="仿宋_GB2312" w:eastAsia="仿宋_GB2312" w:cs="仿宋_GB2312"/>
          <w:color w:val="auto"/>
          <w:spacing w:val="0"/>
          <w:sz w:val="32"/>
          <w:szCs w:val="32"/>
        </w:rPr>
        <w:t>《中华人民共和国政府信息公开条例》</w:t>
      </w:r>
      <w:r>
        <w:rPr>
          <w:rFonts w:hint="eastAsia" w:ascii="仿宋_GB2312" w:hAnsi="仿宋_GB2312" w:eastAsia="仿宋_GB2312" w:cs="仿宋_GB2312"/>
          <w:color w:val="auto"/>
          <w:spacing w:val="0"/>
          <w:sz w:val="32"/>
          <w:szCs w:val="32"/>
          <w:lang w:val="en-US" w:eastAsia="zh-CN"/>
        </w:rPr>
        <w:t>，以退役军人为中心，将退役军人安置就业、优待抚恤等工作全程公开。</w:t>
      </w:r>
    </w:p>
    <w:p w14:paraId="5AC711EA">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rPr>
        <w:t>（三）人大代表建议和政协提案办理结果公开情况</w:t>
      </w:r>
      <w:r>
        <w:rPr>
          <w:rFonts w:hint="eastAsia" w:ascii="楷体_GB2312" w:hAnsi="楷体_GB2312" w:eastAsia="楷体_GB2312" w:cs="楷体_GB2312"/>
          <w:color w:val="auto"/>
          <w:spacing w:val="0"/>
          <w:sz w:val="32"/>
          <w:szCs w:val="32"/>
          <w:lang w:eastAsia="zh-CN"/>
        </w:rPr>
        <w:t>。</w:t>
      </w:r>
    </w:p>
    <w:p w14:paraId="035696F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年度区退役军人事务局</w:t>
      </w:r>
      <w:r>
        <w:rPr>
          <w:rFonts w:hint="eastAsia" w:ascii="仿宋_GB2312" w:hAnsi="仿宋_GB2312" w:eastAsia="仿宋_GB2312" w:cs="仿宋_GB2312"/>
          <w:color w:val="auto"/>
          <w:spacing w:val="0"/>
          <w:sz w:val="32"/>
          <w:szCs w:val="32"/>
          <w:lang w:val="en-US" w:eastAsia="zh-CN"/>
        </w:rPr>
        <w:t>未</w:t>
      </w:r>
      <w:r>
        <w:rPr>
          <w:rFonts w:hint="eastAsia" w:ascii="仿宋_GB2312" w:hAnsi="仿宋_GB2312" w:eastAsia="仿宋_GB2312" w:cs="仿宋_GB2312"/>
          <w:color w:val="auto"/>
          <w:spacing w:val="0"/>
          <w:sz w:val="32"/>
          <w:szCs w:val="32"/>
        </w:rPr>
        <w:t>收到人大建议</w:t>
      </w:r>
      <w:r>
        <w:rPr>
          <w:rFonts w:hint="eastAsia" w:ascii="仿宋_GB2312" w:hAnsi="仿宋_GB2312" w:eastAsia="仿宋_GB2312" w:cs="仿宋_GB2312"/>
          <w:color w:val="auto"/>
          <w:spacing w:val="0"/>
          <w:sz w:val="32"/>
          <w:szCs w:val="32"/>
          <w:lang w:val="en-US" w:eastAsia="zh-CN"/>
        </w:rPr>
        <w:t>和</w:t>
      </w:r>
      <w:r>
        <w:rPr>
          <w:rFonts w:hint="eastAsia" w:ascii="仿宋_GB2312" w:hAnsi="仿宋_GB2312" w:eastAsia="仿宋_GB2312" w:cs="仿宋_GB2312"/>
          <w:color w:val="auto"/>
          <w:spacing w:val="0"/>
          <w:sz w:val="32"/>
          <w:szCs w:val="32"/>
        </w:rPr>
        <w:t>政协提案。</w:t>
      </w:r>
    </w:p>
    <w:p w14:paraId="26D07C7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rPr>
        <w:t>（四）政务公开工作创新情况</w:t>
      </w:r>
      <w:r>
        <w:rPr>
          <w:rFonts w:hint="eastAsia" w:ascii="楷体_GB2312" w:hAnsi="楷体_GB2312" w:eastAsia="楷体_GB2312" w:cs="楷体_GB2312"/>
          <w:color w:val="auto"/>
          <w:spacing w:val="0"/>
          <w:sz w:val="32"/>
          <w:szCs w:val="32"/>
          <w:lang w:eastAsia="zh-CN"/>
        </w:rPr>
        <w:t>。</w:t>
      </w:r>
    </w:p>
    <w:p w14:paraId="2550A5D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无。</w:t>
      </w:r>
    </w:p>
    <w:p w14:paraId="4DD8AA6F">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rPr>
        <w:t>（五）本行政机关政府信息公开工作年度报告数据统计需要说明的事项</w:t>
      </w:r>
      <w:r>
        <w:rPr>
          <w:rFonts w:hint="eastAsia" w:ascii="楷体_GB2312" w:hAnsi="楷体_GB2312" w:eastAsia="楷体_GB2312" w:cs="楷体_GB2312"/>
          <w:color w:val="auto"/>
          <w:spacing w:val="0"/>
          <w:sz w:val="32"/>
          <w:szCs w:val="32"/>
          <w:lang w:eastAsia="zh-CN"/>
        </w:rPr>
        <w:t>。</w:t>
      </w:r>
    </w:p>
    <w:p w14:paraId="3430C55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报告中所列数据的统计期限自202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年1月1日起至202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年12月31日止。</w:t>
      </w:r>
    </w:p>
    <w:p w14:paraId="3C386C92">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auto"/>
          <w:spacing w:val="0"/>
          <w:sz w:val="32"/>
          <w:szCs w:val="32"/>
          <w:lang w:eastAsia="zh-CN"/>
        </w:rPr>
      </w:pPr>
      <w:r>
        <w:rPr>
          <w:rFonts w:hint="eastAsia" w:ascii="楷体_GB2312" w:hAnsi="楷体_GB2312" w:eastAsia="楷体_GB2312" w:cs="楷体_GB2312"/>
          <w:color w:val="auto"/>
          <w:spacing w:val="0"/>
          <w:sz w:val="32"/>
          <w:szCs w:val="32"/>
        </w:rPr>
        <w:t>（六）本行政机关认为需要报告的其他事项</w:t>
      </w:r>
      <w:r>
        <w:rPr>
          <w:rFonts w:hint="eastAsia" w:ascii="楷体_GB2312" w:hAnsi="楷体_GB2312" w:eastAsia="楷体_GB2312" w:cs="楷体_GB2312"/>
          <w:color w:val="auto"/>
          <w:spacing w:val="0"/>
          <w:sz w:val="32"/>
          <w:szCs w:val="32"/>
          <w:lang w:eastAsia="zh-CN"/>
        </w:rPr>
        <w:t>。</w:t>
      </w:r>
    </w:p>
    <w:p w14:paraId="5E0547C5">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无。</w:t>
      </w:r>
    </w:p>
    <w:p w14:paraId="0FB5C8D6">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rPr>
        <w:t>（七）其他有关文件专门要求通过政府信息公开工作年度报告予以报告的事项</w:t>
      </w:r>
      <w:r>
        <w:rPr>
          <w:rFonts w:hint="eastAsia" w:ascii="楷体_GB2312" w:hAnsi="楷体_GB2312" w:eastAsia="楷体_GB2312" w:cs="楷体_GB2312"/>
          <w:color w:val="auto"/>
          <w:spacing w:val="0"/>
          <w:sz w:val="32"/>
          <w:szCs w:val="32"/>
          <w:lang w:eastAsia="zh-CN"/>
        </w:rPr>
        <w:t>。</w:t>
      </w:r>
    </w:p>
    <w:p w14:paraId="29EB843A">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无。</w:t>
      </w:r>
    </w:p>
    <w:p w14:paraId="0F0AAD3B">
      <w:pPr>
        <w:keepNext w:val="0"/>
        <w:keepLines w:val="0"/>
        <w:pageBreakBefore w:val="0"/>
        <w:kinsoku/>
        <w:wordWrap/>
        <w:overflowPunct/>
        <w:topLinePunct w:val="0"/>
        <w:autoSpaceDE/>
        <w:autoSpaceDN/>
        <w:bidi w:val="0"/>
        <w:adjustRightInd/>
        <w:snapToGrid/>
        <w:spacing w:line="560" w:lineRule="exact"/>
        <w:ind w:firstLine="618" w:firstLineChars="200"/>
        <w:jc w:val="right"/>
        <w:textAlignment w:val="auto"/>
        <w:rPr>
          <w:rFonts w:hint="eastAsia" w:ascii="仿宋_GB2312" w:hAnsi="仿宋_GB2312" w:eastAsia="仿宋_GB2312" w:cs="仿宋_GB2312"/>
          <w:color w:val="auto"/>
          <w:spacing w:val="0"/>
          <w:sz w:val="32"/>
          <w:szCs w:val="32"/>
          <w:lang w:val="en-US" w:eastAsia="zh-CN"/>
        </w:rPr>
      </w:pPr>
    </w:p>
    <w:p w14:paraId="6EEAADEE">
      <w:pPr>
        <w:keepNext w:val="0"/>
        <w:keepLines w:val="0"/>
        <w:pageBreakBefore w:val="0"/>
        <w:kinsoku/>
        <w:wordWrap/>
        <w:overflowPunct/>
        <w:topLinePunct w:val="0"/>
        <w:autoSpaceDE/>
        <w:autoSpaceDN/>
        <w:bidi w:val="0"/>
        <w:adjustRightInd/>
        <w:snapToGrid/>
        <w:spacing w:line="560" w:lineRule="exact"/>
        <w:ind w:firstLine="618" w:firstLineChars="200"/>
        <w:jc w:val="righ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台儿庄区退役军人事务局</w:t>
      </w:r>
    </w:p>
    <w:p w14:paraId="5EC49DA3">
      <w:pPr>
        <w:keepNext w:val="0"/>
        <w:keepLines w:val="0"/>
        <w:pageBreakBefore w:val="0"/>
        <w:kinsoku/>
        <w:wordWrap/>
        <w:overflowPunct/>
        <w:topLinePunct w:val="0"/>
        <w:autoSpaceDE/>
        <w:autoSpaceDN/>
        <w:bidi w:val="0"/>
        <w:adjustRightInd/>
        <w:snapToGrid/>
        <w:spacing w:line="560" w:lineRule="exact"/>
        <w:ind w:firstLine="618" w:firstLineChars="200"/>
        <w:jc w:val="right"/>
        <w:textAlignment w:val="auto"/>
        <w:rPr>
          <w:rFonts w:ascii="仿宋_GB2312" w:hAnsi="仿宋_GB2312" w:eastAsia="仿宋_GB2312" w:cs="Calibri"/>
          <w:color w:val="auto"/>
          <w:spacing w:val="0"/>
          <w:sz w:val="32"/>
          <w:szCs w:val="32"/>
          <w:shd w:val="clear" w:color="auto" w:fill="FFFFFF"/>
        </w:rPr>
      </w:pPr>
      <w:r>
        <w:rPr>
          <w:rFonts w:hint="eastAsia" w:ascii="仿宋_GB2312" w:hAnsi="仿宋_GB2312" w:eastAsia="仿宋_GB2312" w:cs="仿宋_GB2312"/>
          <w:color w:val="auto"/>
          <w:spacing w:val="0"/>
          <w:sz w:val="32"/>
          <w:szCs w:val="32"/>
          <w:lang w:val="en-US" w:eastAsia="zh-CN"/>
        </w:rPr>
        <w:t>2026年1月29</w:t>
      </w:r>
      <w:bookmarkStart w:id="10" w:name="_GoBack"/>
      <w:bookmarkEnd w:id="10"/>
      <w:r>
        <w:rPr>
          <w:rFonts w:hint="eastAsia" w:ascii="仿宋_GB2312" w:hAnsi="仿宋_GB2312" w:eastAsia="仿宋_GB2312" w:cs="仿宋_GB2312"/>
          <w:color w:val="auto"/>
          <w:spacing w:val="0"/>
          <w:sz w:val="32"/>
          <w:szCs w:val="32"/>
          <w:lang w:val="en-US" w:eastAsia="zh-CN"/>
        </w:rPr>
        <w:t>日</w:t>
      </w:r>
    </w:p>
    <w:sectPr>
      <w:footerReference r:id="rId3" w:type="default"/>
      <w:footerReference r:id="rId4" w:type="even"/>
      <w:pgSz w:w="11906" w:h="16838"/>
      <w:pgMar w:top="1984"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E6E67D-BC07-43F7-81C3-58794ED2E5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587A595-8758-4B0E-91F2-8E2F8B7B3492}"/>
  </w:font>
  <w:font w:name="仿宋_GB2312">
    <w:panose1 w:val="02010609030101010101"/>
    <w:charset w:val="86"/>
    <w:family w:val="modern"/>
    <w:pitch w:val="default"/>
    <w:sig w:usb0="00000001" w:usb1="080E0000" w:usb2="00000000" w:usb3="00000000" w:csb0="00040000" w:csb1="00000000"/>
    <w:embedRegular r:id="rId3" w:fontKey="{5E88B976-534A-4F82-9AC4-9E9341C57363}"/>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4" w:fontKey="{7961C1E4-C8AE-44EC-BE05-ED045FBBC3D4}"/>
  </w:font>
  <w:font w:name="楷体_GB2312">
    <w:panose1 w:val="02010609030101010101"/>
    <w:charset w:val="86"/>
    <w:family w:val="modern"/>
    <w:pitch w:val="default"/>
    <w:sig w:usb0="00000001" w:usb1="080E0000" w:usb2="00000000" w:usb3="00000000" w:csb0="00040000" w:csb1="00000000"/>
    <w:embedRegular r:id="rId5" w:fontKey="{7008AAAF-3F6D-4A1B-8974-FD8EE9822E47}"/>
  </w:font>
  <w:font w:name="楷体">
    <w:panose1 w:val="02010609060101010101"/>
    <w:charset w:val="86"/>
    <w:family w:val="modern"/>
    <w:pitch w:val="default"/>
    <w:sig w:usb0="800002BF" w:usb1="38CF7CFA" w:usb2="00000016" w:usb3="00000000" w:csb0="00040001" w:csb1="00000000"/>
    <w:embedRegular r:id="rId6" w:fontKey="{07DC0224-C993-43E8-96E1-132D78A09E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7"/>
      <w:framePr w:wrap="around" w:vAnchor="text" w:hAnchor="margin" w:xAlign="outside" w:y="1"/>
      <w:rPr>
        <w:rStyle w:val="16"/>
        <w:rFonts w:ascii="宋体" w:hAnsi="宋体"/>
        <w:sz w:val="28"/>
        <w:szCs w:val="28"/>
      </w:rPr>
    </w:pPr>
    <w:r>
      <w:rPr>
        <w:rStyle w:val="16"/>
        <w:rFonts w:hint="eastAsia" w:ascii="宋体" w:hAnsi="宋体"/>
        <w:sz w:val="28"/>
        <w:szCs w:val="28"/>
      </w:rPr>
      <w:t>—</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１</w:t>
    </w:r>
    <w:r>
      <w:rPr>
        <w:rStyle w:val="16"/>
        <w:rFonts w:ascii="宋体" w:hAnsi="宋体"/>
        <w:sz w:val="28"/>
        <w:szCs w:val="28"/>
      </w:rPr>
      <w:fldChar w:fldCharType="end"/>
    </w:r>
    <w:r>
      <w:rPr>
        <w:rStyle w:val="16"/>
        <w:rFonts w:hint="eastAsia" w:ascii="宋体" w:hAnsi="宋体"/>
        <w:sz w:val="28"/>
        <w:szCs w:val="28"/>
      </w:rPr>
      <w:t>—</w:t>
    </w:r>
  </w:p>
  <w:p w14:paraId="3F2D9BBE">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7"/>
      <w:framePr w:wrap="around" w:vAnchor="text" w:hAnchor="margin" w:xAlign="outside" w:y="1"/>
      <w:rPr>
        <w:rStyle w:val="16"/>
        <w:rFonts w:ascii="宋体" w:hAnsi="宋体"/>
        <w:sz w:val="28"/>
        <w:szCs w:val="28"/>
      </w:rPr>
    </w:pPr>
    <w:r>
      <w:rPr>
        <w:rStyle w:val="16"/>
        <w:rFonts w:hint="eastAsia" w:ascii="宋体" w:hAnsi="宋体"/>
        <w:sz w:val="28"/>
        <w:szCs w:val="28"/>
      </w:rPr>
      <w:t>—</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２</w:t>
    </w:r>
    <w:r>
      <w:rPr>
        <w:rStyle w:val="16"/>
        <w:rFonts w:ascii="宋体" w:hAnsi="宋体"/>
        <w:sz w:val="28"/>
        <w:szCs w:val="28"/>
      </w:rPr>
      <w:fldChar w:fldCharType="end"/>
    </w:r>
    <w:r>
      <w:rPr>
        <w:rStyle w:val="16"/>
        <w:rFonts w:hint="eastAsia" w:ascii="宋体" w:hAnsi="宋体"/>
        <w:sz w:val="28"/>
        <w:szCs w:val="28"/>
      </w:rPr>
      <w:t>—</w:t>
    </w:r>
  </w:p>
  <w:p w14:paraId="0737F09A">
    <w:pPr>
      <w:pStyle w:val="7"/>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6F70F0D"/>
    <w:rsid w:val="085C148C"/>
    <w:rsid w:val="0A982E07"/>
    <w:rsid w:val="0FD2571A"/>
    <w:rsid w:val="147E4E1C"/>
    <w:rsid w:val="169F72CB"/>
    <w:rsid w:val="173C4B1A"/>
    <w:rsid w:val="1ADD5D48"/>
    <w:rsid w:val="1EBB0A1A"/>
    <w:rsid w:val="210E67D3"/>
    <w:rsid w:val="22981573"/>
    <w:rsid w:val="22DE784D"/>
    <w:rsid w:val="25424B8F"/>
    <w:rsid w:val="2B300A31"/>
    <w:rsid w:val="30D56A93"/>
    <w:rsid w:val="332C1D05"/>
    <w:rsid w:val="33FD43A4"/>
    <w:rsid w:val="34EC3754"/>
    <w:rsid w:val="3B5E96CB"/>
    <w:rsid w:val="3FE78241"/>
    <w:rsid w:val="40161C34"/>
    <w:rsid w:val="42C6780A"/>
    <w:rsid w:val="479F7934"/>
    <w:rsid w:val="47C14753"/>
    <w:rsid w:val="4B321EE0"/>
    <w:rsid w:val="4F8922D7"/>
    <w:rsid w:val="51EB4B97"/>
    <w:rsid w:val="57F95408"/>
    <w:rsid w:val="59BDE728"/>
    <w:rsid w:val="5A8D766B"/>
    <w:rsid w:val="5CFDC638"/>
    <w:rsid w:val="5DF77933"/>
    <w:rsid w:val="5DFA29E0"/>
    <w:rsid w:val="5FDE21DF"/>
    <w:rsid w:val="60271F21"/>
    <w:rsid w:val="63620412"/>
    <w:rsid w:val="644C751D"/>
    <w:rsid w:val="65F8334A"/>
    <w:rsid w:val="6F411E43"/>
    <w:rsid w:val="6F5E1F53"/>
    <w:rsid w:val="703D260A"/>
    <w:rsid w:val="71DE6FAE"/>
    <w:rsid w:val="72E36D0B"/>
    <w:rsid w:val="752913AF"/>
    <w:rsid w:val="752F3AB5"/>
    <w:rsid w:val="77F8480C"/>
    <w:rsid w:val="78A30714"/>
    <w:rsid w:val="79EFAF21"/>
    <w:rsid w:val="7F7B8340"/>
    <w:rsid w:val="7FAB59F0"/>
    <w:rsid w:val="A5F996A9"/>
    <w:rsid w:val="C75F89AF"/>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ind w:firstLine="645"/>
    </w:pPr>
    <w:rPr>
      <w:rFonts w:ascii="仿宋_GB2312" w:eastAsia="仿宋_GB2312"/>
      <w:sz w:val="32"/>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99"/>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paragraph" w:styleId="11">
    <w:name w:val="Body Text First Indent 2"/>
    <w:basedOn w:val="5"/>
    <w:unhideWhenUsed/>
    <w:qFormat/>
    <w:uiPriority w:val="99"/>
    <w:pPr>
      <w:spacing w:after="120"/>
      <w:ind w:left="420" w:leftChars="200" w:firstLine="420" w:firstLineChars="200"/>
    </w:pPr>
    <w:rPr>
      <w:rFonts w:ascii="Calibri" w:hAnsi="Calibri" w:eastAsia="宋体"/>
      <w:sz w:val="21"/>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style>
  <w:style w:type="character" w:styleId="17">
    <w:name w:val="Emphasis"/>
    <w:basedOn w:val="14"/>
    <w:qFormat/>
    <w:uiPriority w:val="0"/>
    <w:rPr>
      <w:i/>
    </w:rPr>
  </w:style>
  <w:style w:type="character" w:styleId="18">
    <w:name w:val="Hyperlink"/>
    <w:qFormat/>
    <w:uiPriority w:val="99"/>
    <w:rPr>
      <w:color w:val="0000FF"/>
      <w:u w:val="single"/>
    </w:rPr>
  </w:style>
  <w:style w:type="paragraph" w:customStyle="1" w:styleId="19">
    <w:name w:val="Char"/>
    <w:basedOn w:val="1"/>
    <w:qFormat/>
    <w:uiPriority w:val="0"/>
    <w:pPr>
      <w:widowControl/>
      <w:jc w:val="left"/>
    </w:pPr>
    <w:rPr>
      <w:rFonts w:ascii="Tahoma" w:hAnsi="Tahoma" w:cs="仿宋_GB2312"/>
      <w:kern w:val="0"/>
      <w:sz w:val="24"/>
    </w:rPr>
  </w:style>
  <w:style w:type="paragraph" w:customStyle="1" w:styleId="20">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2430</Words>
  <Characters>2541</Characters>
  <Lines>19</Lines>
  <Paragraphs>5</Paragraphs>
  <TotalTime>33</TotalTime>
  <ScaleCrop>false</ScaleCrop>
  <LinksUpToDate>false</LinksUpToDate>
  <CharactersWithSpaces>2541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2025-01-07T02:43:00Z</dcterms:created>
  <dc:creator>Administrator</dc:creator>
  <cp:lastModifiedBy>韩飞</cp:lastModifiedBy>
  <cp:lastPrinted>2025-01-21T01:58:00Z</cp:lastPrinted>
  <dcterms:modified xsi:type="dcterms:W3CDTF">2026-01-29T08:54:54Z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F5380231E29745BF83AF163D237F0A83_13</vt:lpwstr>
  </property>
  <property fmtid="{D5CDD505-2E9C-101B-9397-08002B2CF9AE}" pid="3" name="KSOProductBuildVer">
    <vt:lpwstr>2052-12.1.0.24657</vt:lpwstr>
  </property>
  <property fmtid="{D5CDD505-2E9C-101B-9397-08002B2CF9AE}" pid="4" name="KSOTemplateDocerSaveRecord">
    <vt:lpwstr>eyJoZGlkIjoiOTRhOTBjNDg1OWVlZjE4ODkxOWQ3MDU1NjNmNTI2MWMiLCJ1c2VySWQiOiIxMjA3NTExNTYzIn0=</vt:lpwstr>
  </property>
</Properties>
</file>