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24192">
      <w:pPr>
        <w:pStyle w:val="2"/>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台儿庄区</w:t>
      </w: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城乡水务</w:t>
      </w:r>
      <w:r>
        <w:rPr>
          <w:rFonts w:hint="eastAsia" w:ascii="方正小标宋简体" w:hAnsi="方正小标宋简体" w:eastAsia="方正小标宋简体" w:cs="方正小标宋简体"/>
          <w:bCs/>
          <w:color w:val="333333"/>
          <w:spacing w:val="-17"/>
          <w:sz w:val="44"/>
          <w:szCs w:val="44"/>
          <w:shd w:val="clear" w:color="auto" w:fill="FFFFFF"/>
        </w:rPr>
        <w:t>局</w:t>
      </w:r>
    </w:p>
    <w:p w14:paraId="1E5B9047">
      <w:pPr>
        <w:pStyle w:val="2"/>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r>
        <w:rPr>
          <w:rFonts w:hint="eastAsia" w:ascii="方正小标宋简体" w:hAnsi="方正小标宋简体" w:eastAsia="方正小标宋简体" w:cs="方正小标宋简体"/>
          <w:bCs/>
          <w:color w:val="333333"/>
          <w:sz w:val="44"/>
          <w:szCs w:val="44"/>
          <w:shd w:val="clear" w:color="auto" w:fill="FFFFFF"/>
        </w:rPr>
        <w:t>年度报告</w:t>
      </w:r>
    </w:p>
    <w:p w14:paraId="6DD7276C">
      <w:pPr>
        <w:widowControl/>
        <w:shd w:val="clear" w:color="auto" w:fill="FFFFFF"/>
        <w:spacing w:before="0" w:beforeAutospacing="0" w:after="0" w:afterAutospacing="0"/>
        <w:ind w:firstLine="420"/>
        <w:jc w:val="both"/>
        <w:rPr>
          <w:rFonts w:ascii="宋体" w:hAnsi="宋体" w:eastAsia="宋体" w:cs="宋体"/>
          <w:color w:val="333333"/>
          <w:kern w:val="0"/>
          <w:sz w:val="24"/>
          <w:szCs w:val="24"/>
          <w:lang w:val="en-US" w:eastAsia="zh-CN" w:bidi="ar-SA"/>
        </w:rPr>
      </w:pPr>
    </w:p>
    <w:p w14:paraId="2696B43D">
      <w:pPr>
        <w:wordWrap w:val="0"/>
        <w:spacing w:line="560" w:lineRule="exact"/>
        <w:ind w:firstLine="61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根据《中华人民共和国政府信息公开条例》（国务院令第711号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以下简称《条例》）相关规定及《台儿庄区人民政府办公室关于做好202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年政府信息公开工作年度报告编制和发布工作的通知》要求，现向社会公布台儿庄区城乡水务局202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政府信息公开报告。本报告由总体情况、主动公开政府信息情况、收到和处理政府信息公开申请情况、政府信息公开行政复议、行政诉讼情况、存在的主要问题及改进情况、其他需要报告的事项六个部分组成。本报告中所列数据的统计时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可通过台儿庄区政府门户网站（http://www.tez.gov.cn/）查阅或下载。如对本报有疑问，请与台儿庄区城乡水务局联系（地址：台儿庄区华兴路657号，邮编：277400，电话：0632—6611506，电子邮箱：tezcxswj@zz.shandong.cn。）</w:t>
      </w:r>
    </w:p>
    <w:p w14:paraId="02DF2716">
      <w:pPr>
        <w:wordWrap w:val="0"/>
        <w:spacing w:line="560" w:lineRule="exact"/>
        <w:ind w:firstLine="618" w:firstLineChars="200"/>
        <w:rPr>
          <w:rFonts w:hint="eastAsia" w:ascii="黑体" w:hAnsi="黑体" w:eastAsia="黑体" w:cs="黑体"/>
          <w:b w:val="0"/>
          <w:bCs/>
          <w:color w:val="333333"/>
          <w:kern w:val="0"/>
          <w:sz w:val="32"/>
          <w:szCs w:val="32"/>
          <w:lang w:val="en-US" w:eastAsia="zh-CN" w:bidi="ar-SA"/>
        </w:rPr>
      </w:pPr>
      <w:r>
        <w:rPr>
          <w:rFonts w:hint="eastAsia" w:ascii="黑体" w:hAnsi="黑体" w:eastAsia="黑体" w:cs="黑体"/>
          <w:b w:val="0"/>
          <w:bCs/>
          <w:color w:val="333333"/>
          <w:kern w:val="0"/>
          <w:sz w:val="32"/>
          <w:szCs w:val="32"/>
          <w:shd w:val="clear" w:color="auto" w:fill="FFFFFF"/>
          <w:lang w:val="en-US" w:eastAsia="zh-CN" w:bidi="ar-SA"/>
        </w:rPr>
        <w:t>一、总体情况</w:t>
      </w:r>
    </w:p>
    <w:p w14:paraId="0F3D79DD">
      <w:pPr>
        <w:wordWrap w:val="0"/>
        <w:spacing w:line="560" w:lineRule="exact"/>
        <w:ind w:firstLine="61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2025年，台儿庄区城乡水务局高度重视政府信息公开工作，严格按照《中华人民共和国政府信息公开条例》规定，结合水务工作实际，加大政府信息公开力度，积极宣传水利工作成效。</w:t>
      </w:r>
    </w:p>
    <w:p w14:paraId="04D41951">
      <w:pPr>
        <w:numPr>
          <w:ilvl w:val="0"/>
          <w:numId w:val="0"/>
        </w:numPr>
        <w:wordWrap w:val="0"/>
        <w:spacing w:line="560" w:lineRule="exact"/>
        <w:ind w:firstLine="618"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楷体_GB2312" w:hAnsi="楷体_GB2312" w:eastAsia="楷体_GB2312" w:cs="楷体_GB2312"/>
          <w:sz w:val="32"/>
          <w:szCs w:val="32"/>
        </w:rPr>
        <w:t>主动公开</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及时准确更新主动公开基本目录，确保平台信息发布规范、有序。围绕水旱灾害防御、重大水利工程建设、水</w:t>
      </w:r>
      <w:r>
        <w:rPr>
          <w:rFonts w:hint="eastAsia" w:ascii="仿宋_GB2312" w:hAnsi="仿宋_GB2312" w:eastAsia="仿宋_GB2312" w:cs="仿宋_GB2312"/>
          <w:sz w:val="32"/>
          <w:szCs w:val="32"/>
          <w:lang w:val="en-US" w:eastAsia="zh-CN"/>
        </w:rPr>
        <w:t>资源水土保持</w:t>
      </w:r>
      <w:r>
        <w:rPr>
          <w:rFonts w:hint="eastAsia" w:ascii="仿宋_GB2312" w:hAnsi="仿宋_GB2312" w:eastAsia="仿宋_GB2312" w:cs="仿宋_GB2312"/>
          <w:sz w:val="32"/>
          <w:szCs w:val="32"/>
        </w:rPr>
        <w:t>建设等方面，通过区政府信息公开门户网站向社会主动公开发布政务信息。截至202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年累计发布各类信息</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其中发布</w:t>
      </w:r>
      <w:r>
        <w:rPr>
          <w:rFonts w:hint="eastAsia" w:ascii="仿宋_GB2312" w:hAnsi="仿宋_GB2312" w:eastAsia="仿宋_GB2312" w:cs="仿宋_GB2312"/>
          <w:sz w:val="32"/>
          <w:szCs w:val="32"/>
        </w:rPr>
        <w:t>法定主动公开内容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栏目</w:t>
      </w:r>
      <w:r>
        <w:rPr>
          <w:rFonts w:hint="eastAsia" w:ascii="仿宋_GB2312" w:hAnsi="仿宋_GB2312" w:eastAsia="仿宋_GB2312" w:cs="仿宋_GB2312"/>
          <w:sz w:val="32"/>
          <w:szCs w:val="32"/>
          <w:lang w:val="en-US" w:eastAsia="zh-CN"/>
        </w:rPr>
        <w:t>信息76</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p>
    <w:p w14:paraId="5AEA67CD">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eastAsia="zh-CN"/>
        </w:rPr>
      </w:pPr>
      <w:r>
        <w:drawing>
          <wp:inline distT="0" distB="0" distL="114300" distR="114300">
            <wp:extent cx="5537835" cy="3507105"/>
            <wp:effectExtent l="0" t="0" r="571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537835" cy="3507105"/>
                    </a:xfrm>
                    <a:prstGeom prst="rect">
                      <a:avLst/>
                    </a:prstGeom>
                    <a:noFill/>
                    <a:ln>
                      <a:noFill/>
                    </a:ln>
                  </pic:spPr>
                </pic:pic>
              </a:graphicData>
            </a:graphic>
          </wp:inline>
        </w:drawing>
      </w:r>
    </w:p>
    <w:p w14:paraId="063318C0">
      <w:pPr>
        <w:numPr>
          <w:ilvl w:val="0"/>
          <w:numId w:val="0"/>
        </w:numPr>
        <w:wordWrap w:val="0"/>
        <w:spacing w:line="560" w:lineRule="exact"/>
        <w:ind w:firstLine="618"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依申请公开工作。</w:t>
      </w:r>
      <w:r>
        <w:rPr>
          <w:rFonts w:hint="eastAsia" w:ascii="仿宋_GB2312" w:hAnsi="仿宋_GB2312" w:eastAsia="仿宋_GB2312" w:cs="仿宋_GB2312"/>
          <w:sz w:val="32"/>
          <w:szCs w:val="32"/>
        </w:rPr>
        <w:t>2025年收到政府信息公开申请0件，与上一年度保持一致。</w:t>
      </w:r>
    </w:p>
    <w:p w14:paraId="03A70439">
      <w:pPr>
        <w:numPr>
          <w:ilvl w:val="0"/>
          <w:numId w:val="0"/>
        </w:numPr>
        <w:wordWrap w:val="0"/>
        <w:spacing w:line="560" w:lineRule="exact"/>
        <w:ind w:firstLine="618"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3.政府信息管理</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明确专门</w:t>
      </w:r>
      <w:r>
        <w:rPr>
          <w:rFonts w:hint="eastAsia" w:ascii="仿宋_GB2312" w:hAnsi="仿宋_GB2312" w:eastAsia="仿宋_GB2312" w:cs="仿宋_GB2312"/>
          <w:sz w:val="32"/>
          <w:szCs w:val="32"/>
          <w:lang w:val="en-US" w:eastAsia="zh-CN"/>
        </w:rPr>
        <w:t>科室</w:t>
      </w:r>
      <w:r>
        <w:rPr>
          <w:rFonts w:hint="eastAsia" w:ascii="仿宋_GB2312" w:hAnsi="仿宋_GB2312" w:eastAsia="仿宋_GB2312" w:cs="仿宋_GB2312"/>
          <w:sz w:val="32"/>
          <w:szCs w:val="32"/>
        </w:rPr>
        <w:t>，安排专人负责网站信息发布和管理，严格落实“三审三校”制度，规范各类信息编辑发布工作，确保信息准确、合法合规。</w:t>
      </w:r>
    </w:p>
    <w:p w14:paraId="6B794CD5">
      <w:pPr>
        <w:wordWrap w:val="0"/>
        <w:spacing w:line="560" w:lineRule="exact"/>
        <w:ind w:firstLine="618" w:firstLineChars="200"/>
        <w:rPr>
          <w:rFonts w:hint="eastAsia" w:ascii="仿宋_GB2312" w:hAnsi="仿宋_GB2312" w:eastAsia="仿宋_GB2312" w:cs="仿宋_GB2312"/>
          <w:color w:val="0000FF"/>
          <w:sz w:val="32"/>
          <w:szCs w:val="32"/>
          <w:lang w:val="en-US" w:eastAsia="zh-CN"/>
        </w:rPr>
      </w:pPr>
      <w:r>
        <w:rPr>
          <w:rFonts w:hint="eastAsia" w:ascii="楷体_GB2312" w:hAnsi="楷体_GB2312" w:eastAsia="楷体_GB2312" w:cs="楷体_GB2312"/>
          <w:sz w:val="32"/>
          <w:szCs w:val="32"/>
        </w:rPr>
        <w:t>4.平台建设</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进一步加强平台建设，根据政务信息公开工作要求，及时更新了法定主动公开内容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信息公开年报等内容。</w:t>
      </w:r>
      <w:r>
        <w:rPr>
          <w:rFonts w:hint="eastAsia" w:ascii="仿宋_GB2312" w:hAnsi="仿宋_GB2312" w:eastAsia="仿宋_GB2312" w:cs="仿宋_GB2312"/>
          <w:sz w:val="32"/>
          <w:szCs w:val="32"/>
          <w:lang w:val="en-US" w:eastAsia="zh-CN"/>
        </w:rPr>
        <w:t>二是按照上级部门安排及时调整专题栏目，对栏目信息质量进行梳理、不断提高信息公开的质量，规范信息发布，做好日常监测，保障信息内容准确。</w:t>
      </w:r>
    </w:p>
    <w:p w14:paraId="3574A217">
      <w:pPr>
        <w:wordWrap w:val="0"/>
        <w:spacing w:line="560" w:lineRule="exact"/>
        <w:ind w:firstLine="618"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5.监督保障</w:t>
      </w:r>
      <w:r>
        <w:rPr>
          <w:rFonts w:hint="eastAsia" w:ascii="楷体_GB2312" w:hAnsi="楷体_GB2312" w:eastAsia="楷体_GB2312" w:cs="楷体_GB2312"/>
          <w:sz w:val="32"/>
          <w:szCs w:val="32"/>
          <w:lang w:val="en-US" w:eastAsia="zh-CN"/>
        </w:rPr>
        <w:t>方面</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一是制定政务信息公开制度，加强工作统筹，明确专人负责，落实本单位日常信息公开工作。二是加强监督检查，明确信息发布工作流程和审核制度，对公开信息的数量、内容、审查程序、时效性等进行专项自查，整改发现的问题，压实责任，不断提高政府信息公开工作的质量和水平。三是认真接受社会监督。</w:t>
      </w:r>
    </w:p>
    <w:p w14:paraId="73CD11B4">
      <w:pPr>
        <w:widowControl/>
        <w:shd w:val="clear" w:color="auto" w:fill="FFFFFF"/>
        <w:spacing w:before="0" w:beforeAutospacing="0" w:after="0" w:afterAutospacing="0"/>
        <w:ind w:firstLine="618" w:firstLineChars="200"/>
        <w:jc w:val="both"/>
        <w:rPr>
          <w:rFonts w:hint="eastAsia" w:ascii="黑体" w:hAnsi="黑体" w:eastAsia="黑体" w:cs="黑体"/>
          <w:b w:val="0"/>
          <w:bCs/>
          <w:color w:val="333333"/>
          <w:kern w:val="0"/>
          <w:sz w:val="32"/>
          <w:szCs w:val="32"/>
          <w:lang w:val="en-US" w:eastAsia="zh-CN" w:bidi="ar-SA"/>
        </w:rPr>
      </w:pPr>
      <w:r>
        <w:rPr>
          <w:rFonts w:hint="eastAsia" w:ascii="黑体" w:hAnsi="黑体" w:eastAsia="黑体" w:cs="黑体"/>
          <w:b w:val="0"/>
          <w:bCs/>
          <w:color w:val="333333"/>
          <w:kern w:val="0"/>
          <w:sz w:val="32"/>
          <w:szCs w:val="32"/>
          <w:shd w:val="clear" w:color="auto" w:fill="FFFFFF"/>
          <w:lang w:val="en-US" w:eastAsia="zh-CN" w:bidi="ar-SA"/>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auto"/>
                <w:kern w:val="0"/>
                <w:szCs w:val="21"/>
                <w:lang w:eastAsia="zh-CN"/>
              </w:rPr>
            </w:pPr>
            <w:r>
              <w:rPr>
                <w:rFonts w:hint="eastAsia" w:ascii="仿宋_GB2312" w:hAnsi="宋体" w:eastAsia="仿宋_GB2312" w:cs="宋体"/>
                <w:color w:val="auto"/>
                <w:kern w:val="0"/>
                <w:szCs w:val="21"/>
                <w:lang w:val="en-US" w:eastAsia="zh-CN"/>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auto"/>
                <w:kern w:val="0"/>
                <w:szCs w:val="21"/>
                <w:lang w:val="en-US" w:eastAsia="zh-CN"/>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1</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auto"/>
                <w:kern w:val="0"/>
                <w:szCs w:val="21"/>
                <w:lang w:val="en-US" w:eastAsia="zh-CN"/>
              </w:rPr>
              <w:t>47.26</w:t>
            </w:r>
          </w:p>
        </w:tc>
      </w:tr>
    </w:tbl>
    <w:p w14:paraId="20FD6CC6">
      <w:pPr>
        <w:ind w:firstLine="618" w:firstLineChars="200"/>
        <w:rPr>
          <w:rFonts w:ascii="黑体" w:hAnsi="黑体" w:eastAsia="黑体" w:cs="黑体"/>
          <w:b w:val="0"/>
          <w:bCs/>
          <w:color w:val="333333"/>
          <w:kern w:val="0"/>
          <w:sz w:val="32"/>
          <w:szCs w:val="32"/>
          <w:shd w:val="clear" w:color="auto" w:fill="FFFFFF"/>
          <w:lang w:bidi="ar"/>
        </w:rPr>
      </w:pPr>
      <w:bookmarkStart w:id="10" w:name="_GoBack"/>
      <w:bookmarkEnd w:id="10"/>
      <w:r>
        <w:rPr>
          <w:rFonts w:hint="eastAsia" w:ascii="黑体" w:hAnsi="黑体" w:eastAsia="黑体" w:cs="黑体"/>
          <w:b w:val="0"/>
          <w:bCs/>
          <w:color w:val="333333"/>
          <w:kern w:val="0"/>
          <w:sz w:val="32"/>
          <w:szCs w:val="32"/>
          <w:shd w:val="clear" w:color="auto" w:fill="FFFFFF"/>
          <w:lang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cs="Times New Roman"/>
                <w:kern w:val="0"/>
                <w:szCs w:val="21"/>
              </w:rPr>
            </w:pPr>
            <w:r>
              <w:rPr>
                <w:rFonts w:hint="eastAsia" w:ascii="楷体_GB2312" w:hAnsi="黑体" w:eastAsia="楷体_GB2312" w:cs="Times New Roman"/>
                <w:kern w:val="0"/>
                <w:szCs w:val="21"/>
              </w:rPr>
              <w:t>（本列数据的勾稽关系为：第一项加第二项之和，</w:t>
            </w:r>
          </w:p>
          <w:p w14:paraId="58273C18">
            <w:pPr>
              <w:widowControl/>
              <w:jc w:val="center"/>
              <w:rPr>
                <w:rFonts w:ascii="仿宋_GB2312" w:hAnsi="Times New Roman" w:eastAsia="仿宋_GB2312" w:cs="Times New Roman"/>
                <w:szCs w:val="21"/>
              </w:rPr>
            </w:pPr>
            <w:r>
              <w:rPr>
                <w:rFonts w:hint="eastAsia" w:ascii="楷体_GB2312" w:hAnsi="黑体" w:eastAsia="楷体_GB2312" w:cs="Times New Roman"/>
                <w:kern w:val="0"/>
                <w:szCs w:val="21"/>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cs="Times New Roman"/>
                <w:szCs w:val="21"/>
              </w:rPr>
            </w:pPr>
            <w:r>
              <w:rPr>
                <w:rFonts w:hint="eastAsia" w:ascii="黑体" w:hAnsi="黑体" w:eastAsia="黑体" w:cs="Times New Roman"/>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hAnsi="Times New Roman" w:eastAsia="仿宋_GB2312" w:cs="Times New Roman"/>
                <w:szCs w:val="21"/>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cs="Times New Roman"/>
                <w:szCs w:val="21"/>
              </w:rPr>
            </w:pPr>
            <w:r>
              <w:rPr>
                <w:rFonts w:hint="eastAsia" w:ascii="黑体" w:hAnsi="黑体" w:eastAsia="黑体" w:cs="Times New Roman"/>
                <w:kern w:val="0"/>
                <w:szCs w:val="21"/>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cs="Times New Roman"/>
                <w:szCs w:val="21"/>
              </w:rPr>
            </w:pPr>
            <w:r>
              <w:rPr>
                <w:rFonts w:hint="eastAsia" w:ascii="黑体" w:hAnsi="黑体" w:eastAsia="黑体" w:cs="Times New Roman"/>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cs="Times New Roman"/>
                <w:szCs w:val="21"/>
              </w:rPr>
            </w:pPr>
            <w:r>
              <w:rPr>
                <w:rFonts w:hint="eastAsia" w:ascii="黑体" w:hAnsi="黑体" w:eastAsia="黑体" w:cs="Times New Roman"/>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hAnsi="Times New Roman" w:eastAsia="仿宋_GB2312" w:cs="Times New Roman"/>
                <w:szCs w:val="21"/>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cs="Times New Roman"/>
                <w:szCs w:val="21"/>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cs="Times New Roman"/>
                <w:szCs w:val="21"/>
              </w:rPr>
            </w:pPr>
            <w:r>
              <w:rPr>
                <w:rFonts w:hint="eastAsia" w:ascii="黑体" w:hAnsi="黑体" w:eastAsia="黑体" w:cs="Times New Roman"/>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cs="Times New Roman"/>
                <w:szCs w:val="21"/>
              </w:rPr>
            </w:pPr>
            <w:r>
              <w:rPr>
                <w:rFonts w:hint="eastAsia" w:ascii="黑体" w:hAnsi="黑体" w:eastAsia="黑体" w:cs="Times New Roman"/>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cs="Times New Roman"/>
                <w:szCs w:val="21"/>
              </w:rPr>
            </w:pPr>
            <w:r>
              <w:rPr>
                <w:rFonts w:hint="eastAsia" w:ascii="黑体" w:hAnsi="黑体" w:eastAsia="黑体" w:cs="Times New Roman"/>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cs="Times New Roman"/>
                <w:szCs w:val="21"/>
              </w:rPr>
            </w:pPr>
            <w:r>
              <w:rPr>
                <w:rFonts w:hint="eastAsia" w:ascii="黑体" w:hAnsi="黑体" w:eastAsia="黑体" w:cs="Times New Roman"/>
                <w:kern w:val="0"/>
                <w:szCs w:val="21"/>
              </w:rPr>
              <w:t>法律服务机构</w:t>
            </w:r>
          </w:p>
        </w:tc>
        <w:tc>
          <w:tcPr>
            <w:tcW w:w="525"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cs="Times New Roman"/>
                <w:szCs w:val="21"/>
              </w:rPr>
            </w:pPr>
            <w:r>
              <w:rPr>
                <w:rFonts w:hint="eastAsia" w:ascii="黑体" w:hAnsi="黑体" w:eastAsia="黑体" w:cs="Times New Roman"/>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hAnsi="Times New Roman" w:eastAsia="仿宋_GB2312" w:cs="Times New Roman"/>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cs="Times New Roman"/>
                <w:szCs w:val="21"/>
              </w:rPr>
            </w:pPr>
            <w:r>
              <w:rPr>
                <w:rFonts w:hint="eastAsia" w:ascii="黑体" w:hAnsi="黑体" w:eastAsia="黑体" w:cs="Times New Roman"/>
                <w:kern w:val="0"/>
                <w:szCs w:val="21"/>
              </w:rPr>
              <w:t>一、</w:t>
            </w:r>
            <w:bookmarkStart w:id="0" w:name="_Hlk66973412"/>
            <w:r>
              <w:rPr>
                <w:rFonts w:hint="eastAsia" w:ascii="黑体" w:hAnsi="黑体" w:eastAsia="黑体" w:cs="Times New Roman"/>
                <w:kern w:val="0"/>
                <w:szCs w:val="21"/>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22FC440C">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1EB7936A">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7175B54E">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637B979B">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633A8B3F">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060F45D4">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cs="Times New Roman"/>
                <w:szCs w:val="21"/>
              </w:rPr>
            </w:pPr>
            <w:r>
              <w:rPr>
                <w:rFonts w:hint="eastAsia" w:ascii="黑体" w:hAnsi="黑体" w:eastAsia="黑体" w:cs="Times New Roman"/>
                <w:kern w:val="0"/>
                <w:szCs w:val="21"/>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2CCDF5A2">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3A724B65">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43C30481">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6D6EC306">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32984CF2">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74128EFA">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cs="Times New Roman"/>
                <w:szCs w:val="21"/>
              </w:rPr>
            </w:pPr>
            <w:r>
              <w:rPr>
                <w:rFonts w:hint="eastAsia" w:ascii="黑体" w:hAnsi="黑体" w:eastAsia="黑体" w:cs="Times New Roman"/>
                <w:kern w:val="0"/>
                <w:szCs w:val="21"/>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cs="Times New Roman"/>
                <w:szCs w:val="21"/>
              </w:rPr>
            </w:pPr>
            <w:r>
              <w:rPr>
                <w:rFonts w:hint="eastAsia" w:ascii="黑体" w:hAnsi="黑体" w:eastAsia="黑体" w:cs="Times New Roman"/>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0" w:type="dxa"/>
            <w:shd w:val="clear" w:color="auto" w:fill="auto"/>
            <w:tcMar>
              <w:left w:w="108" w:type="dxa"/>
              <w:right w:w="108" w:type="dxa"/>
            </w:tcMar>
            <w:vAlign w:val="center"/>
          </w:tcPr>
          <w:p w14:paraId="3A066E8C">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cs="Times New Roman"/>
                <w:szCs w:val="21"/>
              </w:rPr>
            </w:pPr>
          </w:p>
        </w:tc>
        <w:tc>
          <w:tcPr>
            <w:tcW w:w="4677" w:type="dxa"/>
            <w:gridSpan w:val="2"/>
            <w:shd w:val="clear" w:color="auto" w:fill="auto"/>
            <w:tcMar>
              <w:left w:w="108" w:type="dxa"/>
              <w:right w:w="108" w:type="dxa"/>
            </w:tcMar>
            <w:vAlign w:val="center"/>
          </w:tcPr>
          <w:p w14:paraId="0B4B7D1C">
            <w:pPr>
              <w:widowControl/>
              <w:rPr>
                <w:rFonts w:ascii="黑体" w:hAnsi="黑体" w:eastAsia="黑体" w:cs="Times New Roman"/>
                <w:szCs w:val="21"/>
              </w:rPr>
            </w:pPr>
            <w:r>
              <w:rPr>
                <w:rFonts w:hint="eastAsia" w:ascii="黑体" w:hAnsi="黑体" w:eastAsia="黑体" w:cs="Times New Roman"/>
                <w:kern w:val="0"/>
                <w:szCs w:val="21"/>
              </w:rPr>
              <w:t>（二）部分公开（</w:t>
            </w:r>
            <w:bookmarkStart w:id="1" w:name="_Hlk66973981"/>
            <w:r>
              <w:rPr>
                <w:rFonts w:hint="eastAsia" w:ascii="黑体" w:hAnsi="黑体" w:eastAsia="黑体" w:cs="Times New Roman"/>
                <w:kern w:val="0"/>
                <w:szCs w:val="21"/>
              </w:rPr>
              <w:t>区分处理的，只计这一情形，不计其他情形</w:t>
            </w:r>
            <w:bookmarkEnd w:id="1"/>
            <w:r>
              <w:rPr>
                <w:rFonts w:hint="eastAsia" w:ascii="黑体" w:hAnsi="黑体" w:eastAsia="黑体" w:cs="Times New Roman"/>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0" w:type="dxa"/>
            <w:shd w:val="clear" w:color="auto" w:fill="auto"/>
            <w:tcMar>
              <w:left w:w="108" w:type="dxa"/>
              <w:right w:w="108" w:type="dxa"/>
            </w:tcMar>
            <w:vAlign w:val="center"/>
          </w:tcPr>
          <w:p w14:paraId="2CA4B017">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cs="Times New Roman"/>
                <w:szCs w:val="21"/>
              </w:rPr>
            </w:pPr>
          </w:p>
        </w:tc>
        <w:tc>
          <w:tcPr>
            <w:tcW w:w="1701"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cs="Times New Roman"/>
                <w:szCs w:val="21"/>
              </w:rPr>
            </w:pPr>
            <w:r>
              <w:rPr>
                <w:rFonts w:hint="eastAsia" w:ascii="黑体" w:hAnsi="黑体" w:eastAsia="黑体" w:cs="Times New Roman"/>
                <w:kern w:val="0"/>
                <w:szCs w:val="21"/>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2.</w:t>
            </w:r>
            <w:bookmarkStart w:id="2" w:name="_Hlk66974104"/>
            <w:r>
              <w:rPr>
                <w:rFonts w:hint="eastAsia" w:ascii="仿宋_GB2312" w:hAnsi="黑体" w:eastAsia="仿宋_GB2312" w:cs="Times New Roman"/>
                <w:kern w:val="0"/>
                <w:szCs w:val="21"/>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4.</w:t>
            </w:r>
            <w:bookmarkStart w:id="3" w:name="_Hlk66974290"/>
            <w:r>
              <w:rPr>
                <w:rFonts w:hint="eastAsia" w:ascii="仿宋_GB2312" w:hAnsi="黑体" w:eastAsia="仿宋_GB2312" w:cs="Times New Roman"/>
                <w:kern w:val="0"/>
                <w:szCs w:val="21"/>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39FC0AD1">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6.</w:t>
            </w:r>
            <w:bookmarkStart w:id="4" w:name="_Hlk66974555"/>
            <w:r>
              <w:rPr>
                <w:rFonts w:hint="eastAsia" w:ascii="仿宋_GB2312" w:hAnsi="黑体" w:eastAsia="仿宋_GB2312" w:cs="Times New Roman"/>
                <w:kern w:val="0"/>
                <w:szCs w:val="21"/>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8.</w:t>
            </w:r>
            <w:bookmarkStart w:id="5" w:name="_Hlk66975211"/>
            <w:r>
              <w:rPr>
                <w:rFonts w:hint="eastAsia" w:ascii="仿宋_GB2312" w:hAnsi="黑体" w:eastAsia="仿宋_GB2312" w:cs="Times New Roman"/>
                <w:kern w:val="0"/>
                <w:szCs w:val="21"/>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cs="Times New Roman"/>
                <w:szCs w:val="21"/>
              </w:rPr>
            </w:pPr>
          </w:p>
        </w:tc>
        <w:tc>
          <w:tcPr>
            <w:tcW w:w="1701"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cs="Times New Roman"/>
                <w:szCs w:val="21"/>
              </w:rPr>
            </w:pPr>
            <w:r>
              <w:rPr>
                <w:rFonts w:hint="eastAsia" w:ascii="黑体" w:hAnsi="黑体" w:eastAsia="黑体" w:cs="Times New Roman"/>
                <w:kern w:val="0"/>
                <w:szCs w:val="21"/>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cs="Times New Roman"/>
                <w:szCs w:val="21"/>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2.</w:t>
            </w:r>
            <w:bookmarkStart w:id="6" w:name="_Hlk66975392"/>
            <w:r>
              <w:rPr>
                <w:rFonts w:hint="eastAsia" w:ascii="仿宋_GB2312" w:hAnsi="黑体" w:eastAsia="仿宋_GB2312" w:cs="Times New Roman"/>
                <w:kern w:val="0"/>
                <w:szCs w:val="21"/>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cs="Times New Roman"/>
                <w:szCs w:val="21"/>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3.</w:t>
            </w:r>
            <w:bookmarkStart w:id="7" w:name="_Hlk66975466"/>
            <w:r>
              <w:rPr>
                <w:rFonts w:hint="eastAsia" w:ascii="仿宋_GB2312" w:hAnsi="黑体" w:eastAsia="仿宋_GB2312" w:cs="Times New Roman"/>
                <w:kern w:val="0"/>
                <w:szCs w:val="21"/>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cs="Times New Roman"/>
                <w:szCs w:val="21"/>
              </w:rPr>
            </w:pPr>
          </w:p>
        </w:tc>
        <w:tc>
          <w:tcPr>
            <w:tcW w:w="1701"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cs="Times New Roman"/>
                <w:szCs w:val="21"/>
              </w:rPr>
            </w:pPr>
            <w:r>
              <w:rPr>
                <w:rFonts w:hint="eastAsia" w:ascii="黑体" w:hAnsi="黑体" w:eastAsia="黑体" w:cs="Times New Roman"/>
                <w:kern w:val="0"/>
                <w:szCs w:val="21"/>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1.</w:t>
            </w:r>
            <w:bookmarkStart w:id="8" w:name="_Hlk66975537"/>
            <w:r>
              <w:rPr>
                <w:rFonts w:hint="eastAsia" w:ascii="仿宋_GB2312" w:hAnsi="黑体" w:eastAsia="仿宋_GB2312" w:cs="Times New Roman"/>
                <w:kern w:val="0"/>
                <w:szCs w:val="21"/>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cs="Times New Roman"/>
                <w:kern w:val="0"/>
                <w:szCs w:val="21"/>
              </w:rPr>
            </w:pPr>
            <w:r>
              <w:rPr>
                <w:rFonts w:hint="eastAsia" w:ascii="仿宋_GB2312" w:hAnsi="黑体" w:eastAsia="仿宋_GB2312" w:cs="Times New Roman"/>
                <w:kern w:val="0"/>
                <w:szCs w:val="21"/>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cs="Times New Roman"/>
                <w:szCs w:val="21"/>
              </w:rPr>
            </w:pPr>
            <w:r>
              <w:rPr>
                <w:rFonts w:hint="eastAsia" w:ascii="仿宋_GB2312" w:hAnsi="黑体" w:eastAsia="仿宋_GB2312" w:cs="Times New Roman"/>
                <w:kern w:val="0"/>
                <w:szCs w:val="21"/>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cs="Times New Roman"/>
                <w:szCs w:val="21"/>
              </w:rPr>
            </w:pPr>
            <w:r>
              <w:rPr>
                <w:rFonts w:hint="eastAsia" w:ascii="仿宋_GB2312" w:hAnsi="黑体" w:eastAsia="仿宋_GB2312" w:cs="Times New Roman"/>
                <w:kern w:val="0"/>
                <w:szCs w:val="21"/>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cs="Times New Roman"/>
                <w:szCs w:val="21"/>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cs="Times New Roman"/>
                <w:kern w:val="0"/>
                <w:szCs w:val="21"/>
              </w:rPr>
            </w:pPr>
            <w:r>
              <w:rPr>
                <w:rFonts w:hint="eastAsia" w:ascii="仿宋_GB2312" w:hAnsi="黑体" w:eastAsia="仿宋_GB2312" w:cs="Times New Roman"/>
                <w:kern w:val="0"/>
                <w:szCs w:val="21"/>
              </w:rPr>
              <w:t>5.要求行政机关确认或重新</w:t>
            </w:r>
          </w:p>
          <w:p w14:paraId="2EE4B5DD">
            <w:pPr>
              <w:widowControl/>
              <w:spacing w:line="300" w:lineRule="exact"/>
              <w:ind w:firstLine="199" w:firstLineChars="100"/>
              <w:rPr>
                <w:rFonts w:ascii="仿宋_GB2312" w:hAnsi="黑体" w:eastAsia="仿宋_GB2312" w:cs="Times New Roman"/>
                <w:szCs w:val="21"/>
              </w:rPr>
            </w:pPr>
            <w:r>
              <w:rPr>
                <w:rFonts w:hint="eastAsia" w:ascii="仿宋_GB2312" w:hAnsi="黑体" w:eastAsia="仿宋_GB2312" w:cs="Times New Roman"/>
                <w:kern w:val="0"/>
                <w:szCs w:val="21"/>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cs="Times New Roman"/>
                <w:szCs w:val="21"/>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cs="Times New Roman"/>
                <w:kern w:val="0"/>
                <w:szCs w:val="21"/>
              </w:rPr>
            </w:pPr>
            <w:r>
              <w:rPr>
                <w:rFonts w:hint="eastAsia" w:ascii="黑体" w:hAnsi="黑体" w:eastAsia="黑体" w:cs="Times New Roman"/>
                <w:kern w:val="0"/>
                <w:szCs w:val="21"/>
              </w:rPr>
              <w:t>（六）其他处理</w:t>
            </w:r>
          </w:p>
        </w:tc>
        <w:tc>
          <w:tcPr>
            <w:tcW w:w="2976" w:type="dxa"/>
            <w:shd w:val="clear" w:color="auto" w:fill="auto"/>
            <w:vAlign w:val="center"/>
          </w:tcPr>
          <w:p w14:paraId="7786BAE4">
            <w:pPr>
              <w:widowControl/>
              <w:spacing w:line="300" w:lineRule="exact"/>
              <w:rPr>
                <w:rFonts w:ascii="仿宋_GB2312" w:hAnsi="楷体" w:eastAsia="仿宋_GB2312" w:cs="Times New Roman"/>
                <w:szCs w:val="20"/>
              </w:rPr>
            </w:pPr>
            <w:r>
              <w:rPr>
                <w:rFonts w:hint="eastAsia" w:ascii="仿宋_GB2312" w:hAnsi="楷体" w:eastAsia="仿宋_GB2312" w:cs="Times New Roman"/>
                <w:szCs w:val="20"/>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cs="Times New Roman"/>
                <w:kern w:val="0"/>
                <w:szCs w:val="21"/>
              </w:rPr>
            </w:pPr>
          </w:p>
        </w:tc>
        <w:tc>
          <w:tcPr>
            <w:tcW w:w="2976" w:type="dxa"/>
            <w:shd w:val="clear" w:color="auto" w:fill="auto"/>
            <w:vAlign w:val="center"/>
          </w:tcPr>
          <w:p w14:paraId="6E424221">
            <w:pPr>
              <w:widowControl/>
              <w:spacing w:line="300" w:lineRule="exact"/>
              <w:rPr>
                <w:rFonts w:ascii="仿宋_GB2312" w:hAnsi="黑体" w:eastAsia="仿宋_GB2312" w:cs="Times New Roman"/>
                <w:kern w:val="0"/>
                <w:szCs w:val="21"/>
              </w:rPr>
            </w:pPr>
            <w:r>
              <w:rPr>
                <w:rFonts w:hint="eastAsia" w:ascii="仿宋_GB2312" w:hAnsi="楷体" w:eastAsia="仿宋_GB2312" w:cs="Times New Roman"/>
                <w:szCs w:val="20"/>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18CEEE85">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4F6DB810">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cs="Times New Roman"/>
                <w:szCs w:val="21"/>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cs="Times New Roman"/>
                <w:kern w:val="0"/>
                <w:szCs w:val="21"/>
              </w:rPr>
            </w:pPr>
          </w:p>
        </w:tc>
        <w:tc>
          <w:tcPr>
            <w:tcW w:w="2976" w:type="dxa"/>
            <w:shd w:val="clear" w:color="auto" w:fill="auto"/>
            <w:vAlign w:val="center"/>
          </w:tcPr>
          <w:p w14:paraId="17ECD16F">
            <w:pPr>
              <w:widowControl/>
              <w:spacing w:line="300" w:lineRule="exact"/>
              <w:rPr>
                <w:rFonts w:ascii="仿宋_GB2312" w:hAnsi="黑体" w:eastAsia="仿宋_GB2312" w:cs="Times New Roman"/>
                <w:kern w:val="0"/>
                <w:szCs w:val="21"/>
              </w:rPr>
            </w:pPr>
            <w:r>
              <w:rPr>
                <w:rFonts w:hint="eastAsia" w:ascii="仿宋_GB2312" w:hAnsi="楷体" w:eastAsia="仿宋_GB2312" w:cs="Times New Roman"/>
                <w:szCs w:val="20"/>
              </w:rPr>
              <w:t>3.其他</w:t>
            </w:r>
          </w:p>
        </w:tc>
        <w:tc>
          <w:tcPr>
            <w:tcW w:w="747" w:type="dxa"/>
            <w:shd w:val="clear" w:color="auto" w:fill="auto"/>
            <w:tcMar>
              <w:left w:w="108" w:type="dxa"/>
              <w:right w:w="108" w:type="dxa"/>
            </w:tcMar>
            <w:vAlign w:val="center"/>
          </w:tcPr>
          <w:p w14:paraId="269D0033">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49881E26">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418F13CD">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cs="Times New Roman"/>
                <w:szCs w:val="21"/>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cs="Times New Roman"/>
                <w:kern w:val="0"/>
                <w:szCs w:val="21"/>
              </w:rPr>
            </w:pPr>
            <w:r>
              <w:rPr>
                <w:rFonts w:hint="eastAsia" w:ascii="黑体" w:hAnsi="黑体" w:eastAsia="黑体" w:cs="Times New Roman"/>
                <w:kern w:val="0"/>
                <w:szCs w:val="21"/>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66E1C8EF">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12992A8F">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cs="Times New Roman"/>
                <w:kern w:val="0"/>
                <w:szCs w:val="21"/>
              </w:rPr>
            </w:pPr>
            <w:r>
              <w:rPr>
                <w:rFonts w:hint="eastAsia" w:ascii="黑体" w:hAnsi="黑体" w:eastAsia="黑体" w:cs="Times New Roman"/>
                <w:kern w:val="0"/>
                <w:szCs w:val="21"/>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1A0B69AF">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hAnsi="Times New Roman" w:eastAsia="仿宋_GB2312" w:cs="Times New Roman"/>
                <w:szCs w:val="21"/>
              </w:rPr>
            </w:pPr>
            <w:r>
              <w:rPr>
                <w:rFonts w:hint="eastAsia" w:ascii="仿宋_GB2312" w:hAnsi="Times New Roman" w:eastAsia="仿宋_GB2312" w:cs="Times New Roman"/>
                <w:szCs w:val="21"/>
              </w:rPr>
              <w:t>0</w:t>
            </w:r>
          </w:p>
        </w:tc>
        <w:tc>
          <w:tcPr>
            <w:tcW w:w="701" w:type="dxa"/>
            <w:shd w:val="clear" w:color="auto" w:fill="auto"/>
            <w:tcMar>
              <w:left w:w="108" w:type="dxa"/>
              <w:right w:w="108" w:type="dxa"/>
            </w:tcMar>
            <w:vAlign w:val="center"/>
          </w:tcPr>
          <w:p w14:paraId="277CABFE">
            <w:pPr>
              <w:widowControl/>
              <w:spacing w:line="240" w:lineRule="exact"/>
              <w:jc w:val="center"/>
              <w:rPr>
                <w:rFonts w:ascii="仿宋_GB2312" w:hAnsi="Times New Roman" w:eastAsia="仿宋_GB2312" w:cs="Times New Roman"/>
                <w:color w:val="FF0000"/>
                <w:szCs w:val="21"/>
              </w:rPr>
            </w:pPr>
            <w:r>
              <w:rPr>
                <w:rFonts w:hint="eastAsia" w:ascii="仿宋_GB2312" w:hAnsi="Times New Roman" w:eastAsia="仿宋_GB2312" w:cs="Times New Roman"/>
                <w:szCs w:val="21"/>
              </w:rPr>
              <w:t>0</w:t>
            </w:r>
          </w:p>
        </w:tc>
      </w:tr>
    </w:tbl>
    <w:p w14:paraId="25D3A28A">
      <w:pPr>
        <w:widowControl/>
        <w:jc w:val="left"/>
        <w:rPr>
          <w:rFonts w:ascii="仿宋_GB2312" w:hAnsi="Calibri" w:eastAsia="仿宋_GB2312" w:cs="Calibri"/>
          <w:color w:val="FF0000"/>
          <w:kern w:val="0"/>
          <w:szCs w:val="21"/>
        </w:rPr>
      </w:pPr>
    </w:p>
    <w:p w14:paraId="55BE1122">
      <w:pPr>
        <w:ind w:firstLine="618" w:firstLineChars="200"/>
        <w:rPr>
          <w:rFonts w:hint="eastAsia" w:ascii="黑体" w:hAnsi="黑体" w:eastAsia="黑体" w:cs="黑体"/>
          <w:b w:val="0"/>
          <w:bCs/>
          <w:sz w:val="32"/>
          <w:szCs w:val="32"/>
        </w:rPr>
      </w:pPr>
      <w:r>
        <w:rPr>
          <w:rFonts w:hint="eastAsia" w:ascii="黑体" w:hAnsi="黑体" w:eastAsia="黑体" w:cs="黑体"/>
          <w:b w:val="0"/>
          <w:bCs/>
          <w:color w:val="333333"/>
          <w:kern w:val="0"/>
          <w:sz w:val="32"/>
          <w:szCs w:val="32"/>
          <w:shd w:val="clear" w:color="auto" w:fill="FFFFFF"/>
          <w:lang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cs="Times New Roman"/>
                <w:szCs w:val="20"/>
              </w:rPr>
            </w:pPr>
            <w:r>
              <w:rPr>
                <w:rFonts w:ascii="黑体" w:hAnsi="黑体"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cs="Times New Roman"/>
                <w:szCs w:val="20"/>
              </w:rPr>
            </w:pPr>
            <w:r>
              <w:rPr>
                <w:rFonts w:ascii="黑体" w:hAnsi="黑体" w:eastAsia="黑体" w:cs="Times New Roman"/>
                <w:kern w:val="0"/>
                <w:sz w:val="20"/>
                <w:szCs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cs="Times New Roman"/>
                <w:kern w:val="0"/>
                <w:sz w:val="20"/>
                <w:szCs w:val="20"/>
              </w:rPr>
            </w:pPr>
            <w:r>
              <w:rPr>
                <w:rFonts w:ascii="黑体" w:hAnsi="黑体" w:eastAsia="黑体" w:cs="Times New Roman"/>
                <w:kern w:val="0"/>
                <w:sz w:val="20"/>
                <w:szCs w:val="20"/>
              </w:rPr>
              <w:t>结果</w:t>
            </w:r>
          </w:p>
          <w:p w14:paraId="30A60405">
            <w:pPr>
              <w:widowControl/>
              <w:ind w:left="-141" w:leftChars="-71" w:right="-161" w:rightChars="-81"/>
              <w:jc w:val="center"/>
              <w:rPr>
                <w:rFonts w:ascii="黑体" w:hAnsi="黑体" w:eastAsia="黑体" w:cs="Times New Roman"/>
                <w:szCs w:val="20"/>
              </w:rPr>
            </w:pPr>
            <w:r>
              <w:rPr>
                <w:rFonts w:ascii="黑体" w:hAnsi="黑体"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cs="Times New Roman"/>
                <w:szCs w:val="20"/>
              </w:rPr>
            </w:pPr>
            <w:r>
              <w:rPr>
                <w:rFonts w:ascii="黑体" w:hAnsi="黑体"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cs="Times New Roman"/>
                <w:szCs w:val="20"/>
              </w:rPr>
            </w:pPr>
            <w:r>
              <w:rPr>
                <w:rFonts w:ascii="黑体" w:hAnsi="黑体"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cs="Times New Roman"/>
                <w:kern w:val="0"/>
                <w:sz w:val="20"/>
                <w:szCs w:val="20"/>
              </w:rPr>
            </w:pPr>
            <w:r>
              <w:rPr>
                <w:rFonts w:ascii="黑体" w:hAnsi="黑体" w:eastAsia="黑体" w:cs="Times New Roman"/>
                <w:kern w:val="0"/>
                <w:sz w:val="20"/>
                <w:szCs w:val="20"/>
              </w:rPr>
              <w:t>尚未</w:t>
            </w:r>
          </w:p>
          <w:p w14:paraId="72B1D870">
            <w:pPr>
              <w:widowControl/>
              <w:ind w:left="-111" w:leftChars="-56" w:right="-111" w:rightChars="-56"/>
              <w:jc w:val="center"/>
              <w:rPr>
                <w:rFonts w:ascii="黑体" w:hAnsi="黑体" w:eastAsia="黑体" w:cs="Times New Roman"/>
                <w:szCs w:val="20"/>
              </w:rPr>
            </w:pPr>
            <w:r>
              <w:rPr>
                <w:rFonts w:ascii="黑体" w:hAnsi="黑体"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cs="Times New Roman"/>
                <w:kern w:val="0"/>
                <w:sz w:val="20"/>
                <w:szCs w:val="20"/>
              </w:rPr>
            </w:pPr>
            <w:r>
              <w:rPr>
                <w:rFonts w:ascii="黑体" w:hAnsi="黑体" w:eastAsia="黑体" w:cs="Times New Roman"/>
                <w:kern w:val="0"/>
                <w:sz w:val="20"/>
                <w:szCs w:val="20"/>
              </w:rPr>
              <w:t>总</w:t>
            </w:r>
          </w:p>
          <w:p w14:paraId="1ACF9C7C">
            <w:pPr>
              <w:widowControl/>
              <w:spacing w:line="320" w:lineRule="exact"/>
              <w:jc w:val="center"/>
              <w:rPr>
                <w:rFonts w:ascii="黑体" w:hAnsi="黑体" w:eastAsia="黑体" w:cs="Times New Roman"/>
                <w:szCs w:val="20"/>
              </w:rPr>
            </w:pPr>
            <w:r>
              <w:rPr>
                <w:rFonts w:ascii="黑体" w:hAnsi="黑体"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cs="Times New Roman"/>
                <w:szCs w:val="20"/>
              </w:rPr>
            </w:pPr>
            <w:r>
              <w:rPr>
                <w:rFonts w:ascii="黑体" w:hAnsi="黑体"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cs="Times New Roman"/>
                <w:szCs w:val="20"/>
              </w:rPr>
            </w:pPr>
            <w:bookmarkStart w:id="9" w:name="_Hlk67039688"/>
            <w:r>
              <w:rPr>
                <w:rFonts w:ascii="黑体" w:hAnsi="黑体" w:eastAsia="黑体" w:cs="Times New Roman"/>
                <w:kern w:val="0"/>
                <w:sz w:val="20"/>
                <w:szCs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cs="Times New Roman"/>
                <w:sz w:val="24"/>
                <w:szCs w:val="20"/>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cs="Times New Roman"/>
                <w:sz w:val="24"/>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cs="Times New Roman"/>
                <w:sz w:val="24"/>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cs="Times New Roman"/>
                <w:sz w:val="24"/>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cs="Times New Roman"/>
                <w:sz w:val="24"/>
                <w:szCs w:val="20"/>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cs="Times New Roman"/>
                <w:szCs w:val="20"/>
              </w:rPr>
            </w:pPr>
            <w:r>
              <w:rPr>
                <w:rFonts w:ascii="黑体" w:hAnsi="黑体"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cs="Times New Roman"/>
                <w:szCs w:val="20"/>
              </w:rPr>
            </w:pPr>
            <w:r>
              <w:rPr>
                <w:rFonts w:ascii="黑体" w:hAnsi="黑体"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cs="Times New Roman"/>
                <w:kern w:val="0"/>
                <w:sz w:val="20"/>
                <w:szCs w:val="20"/>
              </w:rPr>
            </w:pPr>
            <w:r>
              <w:rPr>
                <w:rFonts w:ascii="黑体" w:hAnsi="黑体" w:eastAsia="黑体" w:cs="Times New Roman"/>
                <w:kern w:val="0"/>
                <w:sz w:val="20"/>
                <w:szCs w:val="20"/>
              </w:rPr>
              <w:t>其他</w:t>
            </w:r>
          </w:p>
          <w:p w14:paraId="076E4088">
            <w:pPr>
              <w:widowControl/>
              <w:ind w:left="-119" w:leftChars="-60" w:right="-129" w:rightChars="-65"/>
              <w:jc w:val="center"/>
              <w:rPr>
                <w:rFonts w:ascii="黑体" w:hAnsi="黑体" w:eastAsia="黑体" w:cs="Times New Roman"/>
                <w:szCs w:val="20"/>
              </w:rPr>
            </w:pPr>
            <w:r>
              <w:rPr>
                <w:rFonts w:ascii="黑体" w:hAnsi="黑体"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cs="Times New Roman"/>
                <w:kern w:val="0"/>
                <w:sz w:val="20"/>
                <w:szCs w:val="20"/>
              </w:rPr>
            </w:pPr>
            <w:r>
              <w:rPr>
                <w:rFonts w:ascii="黑体" w:hAnsi="黑体" w:eastAsia="黑体" w:cs="Times New Roman"/>
                <w:kern w:val="0"/>
                <w:sz w:val="20"/>
                <w:szCs w:val="20"/>
              </w:rPr>
              <w:t>尚未</w:t>
            </w:r>
          </w:p>
          <w:p w14:paraId="24DBF162">
            <w:pPr>
              <w:widowControl/>
              <w:ind w:left="-155" w:leftChars="-78" w:right="-145" w:rightChars="-73"/>
              <w:jc w:val="center"/>
              <w:rPr>
                <w:rFonts w:ascii="黑体" w:hAnsi="黑体" w:eastAsia="黑体" w:cs="Times New Roman"/>
                <w:szCs w:val="20"/>
              </w:rPr>
            </w:pPr>
            <w:r>
              <w:rPr>
                <w:rFonts w:ascii="黑体" w:hAnsi="黑体"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cs="Times New Roman"/>
                <w:szCs w:val="20"/>
              </w:rPr>
            </w:pPr>
            <w:r>
              <w:rPr>
                <w:rFonts w:ascii="黑体" w:hAnsi="黑体"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cs="Times New Roman"/>
                <w:szCs w:val="20"/>
              </w:rPr>
            </w:pPr>
            <w:r>
              <w:rPr>
                <w:rFonts w:ascii="黑体" w:hAnsi="黑体"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cs="Times New Roman"/>
                <w:kern w:val="0"/>
                <w:sz w:val="20"/>
                <w:szCs w:val="20"/>
              </w:rPr>
            </w:pPr>
            <w:r>
              <w:rPr>
                <w:rFonts w:ascii="黑体" w:hAnsi="黑体" w:eastAsia="黑体" w:cs="Times New Roman"/>
                <w:kern w:val="0"/>
                <w:sz w:val="20"/>
                <w:szCs w:val="20"/>
              </w:rPr>
              <w:t>结果</w:t>
            </w:r>
          </w:p>
          <w:p w14:paraId="6D1FBE5B">
            <w:pPr>
              <w:widowControl/>
              <w:ind w:left="-129" w:leftChars="-65" w:right="-117" w:rightChars="-59"/>
              <w:jc w:val="center"/>
              <w:rPr>
                <w:rFonts w:ascii="黑体" w:hAnsi="黑体" w:eastAsia="黑体" w:cs="Times New Roman"/>
                <w:szCs w:val="20"/>
              </w:rPr>
            </w:pPr>
            <w:r>
              <w:rPr>
                <w:rFonts w:ascii="黑体" w:hAnsi="黑体"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cs="Times New Roman"/>
                <w:kern w:val="0"/>
                <w:sz w:val="20"/>
                <w:szCs w:val="20"/>
              </w:rPr>
            </w:pPr>
            <w:r>
              <w:rPr>
                <w:rFonts w:ascii="黑体" w:hAnsi="黑体" w:eastAsia="黑体" w:cs="Times New Roman"/>
                <w:kern w:val="0"/>
                <w:sz w:val="20"/>
                <w:szCs w:val="20"/>
              </w:rPr>
              <w:t>其他</w:t>
            </w:r>
          </w:p>
          <w:p w14:paraId="4A2C3506">
            <w:pPr>
              <w:widowControl/>
              <w:ind w:left="-164" w:leftChars="-83" w:right="-127" w:rightChars="-64" w:hanging="1"/>
              <w:jc w:val="center"/>
              <w:rPr>
                <w:rFonts w:ascii="黑体" w:hAnsi="黑体" w:eastAsia="黑体" w:cs="Times New Roman"/>
                <w:szCs w:val="20"/>
              </w:rPr>
            </w:pPr>
            <w:r>
              <w:rPr>
                <w:rFonts w:ascii="黑体" w:hAnsi="黑体"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cs="Times New Roman"/>
                <w:szCs w:val="20"/>
              </w:rPr>
            </w:pPr>
            <w:r>
              <w:rPr>
                <w:rFonts w:ascii="黑体" w:hAnsi="黑体"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cs="Times New Roman"/>
                <w:szCs w:val="20"/>
              </w:rPr>
            </w:pPr>
            <w:r>
              <w:rPr>
                <w:rFonts w:ascii="黑体" w:hAnsi="黑体" w:eastAsia="黑体" w:cs="Times New Roman"/>
                <w:kern w:val="0"/>
                <w:sz w:val="20"/>
                <w:szCs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rPr>
                <w:rFonts w:ascii="Times New Roman" w:hAnsi="Times New Roman" w:eastAsia="宋体" w:cs="Times New Roman"/>
                <w:szCs w:val="20"/>
              </w:rPr>
            </w:pPr>
            <w:r>
              <w:rPr>
                <w:rFonts w:hint="eastAsia" w:ascii="Times New Roman" w:hAnsi="Times New Roman" w:eastAsia="宋体" w:cs="Times New Roman"/>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ascii="Times New Roman" w:hAnsi="Times New Roman" w:eastAsia="宋体" w:cs="Times New Roman"/>
                <w:szCs w:val="20"/>
              </w:rPr>
            </w:pPr>
            <w:r>
              <w:rPr>
                <w:rFonts w:hint="eastAsia" w:ascii="Times New Roman" w:hAnsi="Times New Roman" w:eastAsia="宋体" w:cs="Times New Roman"/>
                <w:szCs w:val="20"/>
              </w:rPr>
              <w:t>0</w:t>
            </w:r>
          </w:p>
        </w:tc>
      </w:tr>
    </w:tbl>
    <w:p w14:paraId="0D641DF6">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 w:val="0"/>
          <w:bCs/>
          <w:color w:val="333333"/>
          <w:kern w:val="0"/>
          <w:sz w:val="32"/>
          <w:szCs w:val="32"/>
          <w:shd w:val="clear" w:color="auto" w:fill="FFFFFF"/>
          <w:lang w:val="en-US" w:eastAsia="zh-CN" w:bidi="ar"/>
        </w:rPr>
      </w:pPr>
      <w:r>
        <w:rPr>
          <w:rFonts w:hint="eastAsia" w:ascii="黑体" w:hAnsi="黑体" w:eastAsia="黑体" w:cs="黑体"/>
          <w:b w:val="0"/>
          <w:bCs/>
          <w:color w:val="333333"/>
          <w:kern w:val="0"/>
          <w:sz w:val="32"/>
          <w:szCs w:val="32"/>
          <w:shd w:val="clear" w:color="auto" w:fill="FFFFFF"/>
          <w:lang w:val="en-US" w:eastAsia="zh-CN" w:bidi="ar"/>
        </w:rPr>
        <w:t>五、存在的主要问题及改进情况</w:t>
      </w:r>
    </w:p>
    <w:p w14:paraId="23CA6DD1">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存在问题：</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解读栏目质量问题严重，</w:t>
      </w:r>
      <w:r>
        <w:rPr>
          <w:rFonts w:hint="eastAsia" w:ascii="仿宋_GB2312" w:hAnsi="仿宋_GB2312" w:eastAsia="仿宋_GB2312" w:cs="仿宋_GB2312"/>
          <w:sz w:val="32"/>
          <w:szCs w:val="32"/>
          <w:lang w:val="en-US" w:eastAsia="zh-CN"/>
        </w:rPr>
        <w:t>目前只会图文解读，解读形式单一。二是业务水平有待进一步提高。工作人员对政府信息公开的相关政策法规理解尚不够深入，不能灵活运用相关制度较好地应对实际工作。</w:t>
      </w:r>
    </w:p>
    <w:p w14:paraId="007FC1C2">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改进措施：</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提升政府信息公开质量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提高解读能力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丰富解读形式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继续加强学习培训，提高信息公开业务工作能力</w:t>
      </w:r>
      <w:r>
        <w:rPr>
          <w:rFonts w:hint="eastAsia" w:ascii="仿宋_GB2312" w:hAnsi="仿宋_GB2312" w:eastAsia="仿宋_GB2312" w:cs="仿宋_GB2312"/>
          <w:sz w:val="32"/>
          <w:szCs w:val="32"/>
          <w:lang w:eastAsia="zh-CN"/>
        </w:rPr>
        <w:t>。</w:t>
      </w:r>
    </w:p>
    <w:p w14:paraId="49F097C6">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val="0"/>
          <w:bCs/>
          <w:color w:val="333333"/>
          <w:kern w:val="0"/>
          <w:sz w:val="32"/>
          <w:szCs w:val="32"/>
          <w:shd w:val="clear" w:color="auto" w:fill="FFFFFF"/>
          <w:lang w:val="en-US" w:eastAsia="zh-CN" w:bidi="ar"/>
        </w:rPr>
      </w:pPr>
      <w:r>
        <w:rPr>
          <w:rFonts w:hint="eastAsia" w:ascii="黑体" w:hAnsi="黑体" w:eastAsia="黑体" w:cs="黑体"/>
          <w:b w:val="0"/>
          <w:bCs/>
          <w:color w:val="333333"/>
          <w:kern w:val="0"/>
          <w:sz w:val="32"/>
          <w:szCs w:val="32"/>
          <w:shd w:val="clear" w:color="auto" w:fill="FFFFFF"/>
          <w:lang w:val="en-US" w:eastAsia="zh-CN" w:bidi="ar"/>
        </w:rPr>
        <w:t>六、其他需要报告的事项</w:t>
      </w:r>
    </w:p>
    <w:p w14:paraId="6E6189D7">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（一）收取信息处理费情况</w:t>
      </w:r>
    </w:p>
    <w:p w14:paraId="77ED903D">
      <w:pPr>
        <w:keepNext w:val="0"/>
        <w:keepLines w:val="0"/>
        <w:pageBreakBefore w:val="0"/>
        <w:kinsoku/>
        <w:wordWrap w:val="0"/>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年，区城乡水务局不存在因信息处理收取相关费用的情况。</w:t>
      </w:r>
    </w:p>
    <w:p w14:paraId="05D6F546">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（二）落实上级年度政务公开工作要点情况</w:t>
      </w:r>
    </w:p>
    <w:p w14:paraId="2F49CA8B">
      <w:pPr>
        <w:keepNext w:val="0"/>
        <w:keepLines w:val="0"/>
        <w:pageBreakBefore w:val="0"/>
        <w:kinsoku/>
        <w:wordWrap w:val="0"/>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区城乡水务局严格按照上级通知要求，结合我局工作实际，对2025年政务公开重点工作任务进行分工，科学制定工</w:t>
      </w:r>
      <w:r>
        <w:rPr>
          <w:rFonts w:hint="eastAsia" w:ascii="仿宋_GB2312" w:hAnsi="仿宋_GB2312" w:eastAsia="仿宋_GB2312" w:cs="仿宋_GB2312"/>
          <w:sz w:val="32"/>
          <w:szCs w:val="32"/>
          <w:lang w:eastAsia="zh-CN"/>
        </w:rPr>
        <w:t>作要点，有序推进政务公开工作。</w:t>
      </w:r>
    </w:p>
    <w:p w14:paraId="7674EC57">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（三）人大代表建议和政协提案办理结果公开情况</w:t>
      </w:r>
    </w:p>
    <w:p w14:paraId="02924026">
      <w:pPr>
        <w:keepNext w:val="0"/>
        <w:keepLines w:val="0"/>
        <w:pageBreakBefore w:val="0"/>
        <w:kinsoku/>
        <w:wordWrap w:val="0"/>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2025年，区城乡水务局承办区十三届人大四次会议代表建议3件，区政协十届三次会议提案1件，市政协十一届四次会议2件。主要涉及消除中、小河道桥梁隐患、</w:t>
      </w:r>
      <w:r>
        <w:rPr>
          <w:rFonts w:ascii="仿宋_GB2312" w:hAnsi="宋体" w:eastAsia="仿宋_GB2312" w:cs="仿宋_GB2312"/>
          <w:i w:val="0"/>
          <w:iCs w:val="0"/>
          <w:caps w:val="0"/>
          <w:color w:val="000000"/>
          <w:spacing w:val="0"/>
          <w:sz w:val="32"/>
          <w:szCs w:val="32"/>
        </w:rPr>
        <w:t>全域建设台儿庄精品旅游城市</w:t>
      </w:r>
      <w:r>
        <w:rPr>
          <w:rFonts w:hint="eastAsia" w:ascii="仿宋_GB2312" w:hAnsi="宋体" w:eastAsia="仿宋_GB2312" w:cs="仿宋_GB2312"/>
          <w:i w:val="0"/>
          <w:iCs w:val="0"/>
          <w:caps w:val="0"/>
          <w:color w:val="000000"/>
          <w:spacing w:val="0"/>
          <w:sz w:val="32"/>
          <w:szCs w:val="32"/>
        </w:rPr>
        <w:t>的措施等方面</w:t>
      </w:r>
      <w:r>
        <w:rPr>
          <w:rFonts w:hint="eastAsia" w:ascii="仿宋_GB2312" w:hAnsi="仿宋_GB2312" w:eastAsia="仿宋_GB2312" w:cs="仿宋_GB2312"/>
          <w:sz w:val="32"/>
          <w:szCs w:val="32"/>
          <w:lang w:val="en-US" w:eastAsia="zh-CN"/>
        </w:rPr>
        <w:t>。所有承办的建议提案均按规定进行答复并主动在台儿庄区人民政府网站“建议提案办理”公开。</w:t>
      </w:r>
    </w:p>
    <w:p w14:paraId="68202A49">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（四）政务公开工作创新情况</w:t>
      </w:r>
    </w:p>
    <w:p w14:paraId="5863BB1F">
      <w:pPr>
        <w:keepNext w:val="0"/>
        <w:keepLines w:val="0"/>
        <w:pageBreakBefore w:val="0"/>
        <w:kinsoku/>
        <w:wordWrap w:val="0"/>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4B32817C">
      <w:pPr>
        <w:keepNext w:val="0"/>
        <w:keepLines w:val="0"/>
        <w:pageBreakBefore w:val="0"/>
        <w:kinsoku/>
        <w:wordWrap w:val="0"/>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（五）本行政机关政府信息公开工作年度报告数据统计需要说明的事项</w:t>
      </w:r>
    </w:p>
    <w:p w14:paraId="6F907062">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报告中所列数据的统计期限自2025年1月1日起至2025年12月31日止。</w:t>
      </w:r>
    </w:p>
    <w:p w14:paraId="5E0547C5">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（六）本行政机关认为需要报告的其他事项</w:t>
      </w:r>
    </w:p>
    <w:p w14:paraId="44C37442">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rPr>
        <w:t>。</w:t>
      </w:r>
    </w:p>
    <w:p w14:paraId="29EB843A">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（七）其他有关文件专门要求通过政府信息公开工作年度报告予以报告的事项</w:t>
      </w:r>
    </w:p>
    <w:p w14:paraId="3F3F3121">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rPr>
        <w:t>。</w:t>
      </w:r>
    </w:p>
    <w:p w14:paraId="6EEAADEE">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FF"/>
          <w:sz w:val="32"/>
          <w:szCs w:val="32"/>
          <w:shd w:val="clear" w:color="auto" w:fill="FFFFFF"/>
        </w:rPr>
      </w:pPr>
    </w:p>
    <w:p w14:paraId="5EBDB1DD">
      <w:pPr>
        <w:keepNext w:val="0"/>
        <w:keepLines w:val="0"/>
        <w:pageBreakBefore w:val="0"/>
        <w:kinsoku/>
        <w:overflowPunct/>
        <w:topLinePunct w:val="0"/>
        <w:autoSpaceDE/>
        <w:autoSpaceDN/>
        <w:bidi w:val="0"/>
        <w:adjustRightInd/>
        <w:snapToGrid/>
        <w:spacing w:line="560" w:lineRule="exact"/>
        <w:ind w:firstLine="618"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台儿庄区城乡水务局</w:t>
      </w:r>
    </w:p>
    <w:p w14:paraId="39FD2C72">
      <w:pPr>
        <w:keepNext w:val="0"/>
        <w:keepLines w:val="0"/>
        <w:pageBreakBefore w:val="0"/>
        <w:kinsoku/>
        <w:overflowPunct/>
        <w:topLinePunct w:val="0"/>
        <w:autoSpaceDE/>
        <w:autoSpaceDN/>
        <w:bidi w:val="0"/>
        <w:adjustRightInd/>
        <w:snapToGrid/>
        <w:spacing w:line="560" w:lineRule="exact"/>
        <w:ind w:firstLine="618" w:firstLineChars="200"/>
        <w:jc w:val="right"/>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lang w:val="en-US" w:eastAsia="zh-CN"/>
        </w:rPr>
        <w:t>2026年1月16日</w:t>
      </w:r>
    </w:p>
    <w:p w14:paraId="4D186CD1">
      <w:pPr>
        <w:keepNext w:val="0"/>
        <w:keepLines w:val="0"/>
        <w:pageBreakBefore w:val="0"/>
        <w:kinsoku/>
        <w:overflowPunct/>
        <w:topLinePunct w:val="0"/>
        <w:autoSpaceDE/>
        <w:autoSpaceDN/>
        <w:bidi w:val="0"/>
        <w:adjustRightInd/>
        <w:snapToGrid/>
        <w:spacing w:line="560" w:lineRule="exact"/>
        <w:ind w:firstLine="398" w:firstLineChars="200"/>
        <w:textAlignment w:val="auto"/>
      </w:pPr>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framePr w:wrap="around" w:vAnchor="text" w:hAnchor="margin" w:xAlign="outside" w:y="1"/>
      <w:widowControl w:val="0"/>
      <w:tabs>
        <w:tab w:val="center" w:pos="4153"/>
        <w:tab w:val="right" w:pos="8306"/>
      </w:tabs>
      <w:snapToGrid w:val="0"/>
      <w:jc w:val="lef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１</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p w14:paraId="3F2D9BBE">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framePr w:wrap="around" w:vAnchor="text" w:hAnchor="margin" w:xAlign="outside" w:y="1"/>
      <w:widowControl w:val="0"/>
      <w:tabs>
        <w:tab w:val="center" w:pos="4153"/>
        <w:tab w:val="right" w:pos="8306"/>
      </w:tabs>
      <w:snapToGrid w:val="0"/>
      <w:jc w:val="lef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２</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p w14:paraId="0737F09A">
    <w:pPr>
      <w:widowControl w:val="0"/>
      <w:tabs>
        <w:tab w:val="center" w:pos="4153"/>
        <w:tab w:val="right" w:pos="8306"/>
      </w:tabs>
      <w:snapToGrid w:val="0"/>
      <w:ind w:right="360" w:firstLine="360"/>
      <w:jc w:val="center"/>
      <w:rPr>
        <w:rFonts w:ascii="Times New Roman" w:hAnsi="Times New Roman"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E4775"/>
    <w:rsid w:val="00CD45CB"/>
    <w:rsid w:val="07EA49C6"/>
    <w:rsid w:val="12F10CA7"/>
    <w:rsid w:val="289200CA"/>
    <w:rsid w:val="35FC431D"/>
    <w:rsid w:val="4E3518DD"/>
    <w:rsid w:val="50D85DFB"/>
    <w:rsid w:val="5E9F255E"/>
    <w:rsid w:val="5EDE4775"/>
    <w:rsid w:val="68BA0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2409</Words>
  <Characters>2552</Characters>
  <Lines>0</Lines>
  <Paragraphs>0</Paragraphs>
  <TotalTime>3</TotalTime>
  <ScaleCrop>false</ScaleCrop>
  <LinksUpToDate>false</LinksUpToDate>
  <CharactersWithSpaces>2552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2026-01-15T10:06:00Z</dcterms:created>
  <dc:creator>看愿意看的风景</dc:creator>
  <cp:lastModifiedBy>看愿意看的风景</cp:lastModifiedBy>
  <dcterms:modified xsi:type="dcterms:W3CDTF">2026-01-29T09:33:27Z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E4D29D63F87F4D26AD6B5AAB9D7B5D4C_13</vt:lpwstr>
  </property>
  <property fmtid="{D5CDD505-2E9C-101B-9397-08002B2CF9AE}" pid="4" name="KSOTemplateDocerSaveRecord">
    <vt:lpwstr>eyJoZGlkIjoiOTE1MDk2ODRmNGVhYThlNjJjNWI5ZjdlNDI3NjhkZDgiLCJ1c2VySWQiOiIzNjMxNDU4MTYifQ==</vt:lpwstr>
  </property>
</Properties>
</file>