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06A3F">
      <w:pPr>
        <w:widowControl/>
        <w:spacing w:line="56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枣庄市台儿庄区文化和旅游局</w:t>
      </w:r>
    </w:p>
    <w:p w14:paraId="CCCB4AD8">
      <w:pPr>
        <w:widowControl/>
        <w:spacing w:line="56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202</w:t>
      </w:r>
      <w:r>
        <w:rPr>
          <w:rFonts w:hint="eastAsia" w:ascii="方正小标宋简体" w:hAnsi="宋体" w:eastAsia="方正小标宋简体" w:cs="宋体"/>
          <w:color w:val="000000"/>
          <w:kern w:val="0"/>
          <w:sz w:val="44"/>
          <w:szCs w:val="44"/>
          <w:lang w:val="en-US" w:eastAsia="zh-CN"/>
        </w:rPr>
        <w:t>5</w:t>
      </w:r>
      <w:r>
        <w:rPr>
          <w:rFonts w:hint="eastAsia" w:ascii="方正小标宋简体" w:hAnsi="宋体" w:eastAsia="方正小标宋简体" w:cs="宋体"/>
          <w:color w:val="000000"/>
          <w:kern w:val="0"/>
          <w:sz w:val="44"/>
          <w:szCs w:val="44"/>
        </w:rPr>
        <w:t>年政府信息公开工作年度报告</w:t>
      </w:r>
    </w:p>
    <w:p w14:paraId="AB8B06F8">
      <w:pPr>
        <w:widowControl/>
        <w:spacing w:line="560" w:lineRule="exact"/>
        <w:ind w:firstLine="640" w:firstLineChars="200"/>
        <w:jc w:val="left"/>
        <w:rPr>
          <w:rFonts w:ascii="黑体" w:hAnsi="黑体" w:eastAsia="黑体" w:cs="宋体"/>
          <w:color w:val="000000"/>
          <w:kern w:val="0"/>
          <w:sz w:val="32"/>
          <w:szCs w:val="32"/>
        </w:rPr>
      </w:pPr>
    </w:p>
    <w:p w14:paraId="B51B02C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宋体"/>
          <w:kern w:val="0"/>
          <w:sz w:val="32"/>
          <w:szCs w:val="32"/>
        </w:rPr>
      </w:pPr>
      <w:r>
        <w:rPr>
          <w:rFonts w:hint="eastAsia" w:ascii="仿宋_GB2312" w:eastAsia="仿宋_GB2312"/>
          <w:sz w:val="32"/>
          <w:szCs w:val="32"/>
          <w:shd w:val="clear" w:color="auto" w:fill="FFFFFF"/>
        </w:rPr>
        <w:t>本年度报告根据《中华人民共和国政府信息公开条例》（国务院令第711号，以下简称《条例》）和《台儿庄区人民政府办公室</w:t>
      </w:r>
      <w:r>
        <w:rPr>
          <w:rFonts w:hint="eastAsia" w:ascii="仿宋_GB2312" w:eastAsia="仿宋_GB2312"/>
          <w:sz w:val="32"/>
          <w:szCs w:val="32"/>
          <w:shd w:val="clear" w:color="auto" w:fill="FFFFFF"/>
          <w:lang w:val="en-US" w:eastAsia="zh-CN"/>
        </w:rPr>
        <w:t>关于做好2025年政府信息公开工作年度报告编制和发布工作的通知</w:t>
      </w:r>
      <w:r>
        <w:rPr>
          <w:rFonts w:hint="eastAsia" w:ascii="仿宋_GB2312" w:eastAsia="仿宋_GB2312"/>
          <w:sz w:val="32"/>
          <w:szCs w:val="32"/>
          <w:shd w:val="clear" w:color="auto" w:fill="FFFFFF"/>
        </w:rPr>
        <w:t>》相关要求编制。内容包括总体情况、主动公开政府信息情况、收到和处理政府信息公开申请情况、政府信息公开行政复议和行政诉讼情况、存在的主要问题及改进情况、其他需要报告的事项六个部分。本年度报告中所列数据统计期限从202</w:t>
      </w:r>
      <w:r>
        <w:rPr>
          <w:rFonts w:hint="default" w:ascii="仿宋_GB2312" w:eastAsia="仿宋_GB2312"/>
          <w:sz w:val="32"/>
          <w:szCs w:val="32"/>
          <w:shd w:val="clear" w:color="auto" w:fill="FFFFFF"/>
          <w:lang w:val="en-US"/>
        </w:rPr>
        <w:t>5</w:t>
      </w:r>
      <w:r>
        <w:rPr>
          <w:rFonts w:hint="eastAsia" w:ascii="仿宋_GB2312" w:eastAsia="仿宋_GB2312"/>
          <w:sz w:val="32"/>
          <w:szCs w:val="32"/>
          <w:shd w:val="clear" w:color="auto" w:fill="FFFFFF"/>
        </w:rPr>
        <w:t>年1月1日到202</w:t>
      </w:r>
      <w:r>
        <w:rPr>
          <w:rFonts w:hint="default" w:ascii="仿宋_GB2312" w:eastAsia="仿宋_GB2312"/>
          <w:sz w:val="32"/>
          <w:szCs w:val="32"/>
          <w:shd w:val="clear" w:color="auto" w:fill="FFFFFF"/>
          <w:lang w:val="en-US"/>
        </w:rPr>
        <w:t>5</w:t>
      </w:r>
      <w:r>
        <w:rPr>
          <w:rFonts w:hint="eastAsia" w:ascii="仿宋_GB2312" w:eastAsia="仿宋_GB2312"/>
          <w:sz w:val="32"/>
          <w:szCs w:val="32"/>
          <w:shd w:val="clear" w:color="auto" w:fill="FFFFFF"/>
        </w:rPr>
        <w:t>年12月31日。本年度报告电子版可从枣庄市台儿庄区人民政府门户网站“台儿庄区人民政府”（http://www.tez.gov.cn/）查阅或下载。公众如需进一步咨询了解相关信息，请与枣庄市台儿庄区文化和旅游局联系（地址：</w:t>
      </w:r>
      <w:r>
        <w:rPr>
          <w:rFonts w:hint="eastAsia" w:ascii="仿宋_GB2312" w:hAnsi="仿宋_GB2312" w:eastAsia="仿宋_GB2312" w:cs="仿宋_GB2312"/>
          <w:color w:val="000000"/>
          <w:kern w:val="0"/>
          <w:sz w:val="32"/>
          <w:szCs w:val="32"/>
        </w:rPr>
        <w:t xml:space="preserve">枣庄市台儿庄区康宁路6号;电话:0632—6611762;邮箱:tezqwlj@zz.shandong.cn </w:t>
      </w:r>
      <w:r>
        <w:rPr>
          <w:rFonts w:hint="eastAsia" w:ascii="仿宋_GB2312" w:eastAsia="仿宋_GB2312"/>
          <w:sz w:val="32"/>
          <w:szCs w:val="32"/>
          <w:shd w:val="clear" w:color="auto" w:fill="FFFFFF"/>
        </w:rPr>
        <w:t>）。</w:t>
      </w:r>
    </w:p>
    <w:p w14:paraId="E64ACE4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一、总体情况</w:t>
      </w:r>
    </w:p>
    <w:p w14:paraId="1A3C3B3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宋体" w:eastAsia="仿宋_GB2312" w:cs="仿宋_GB2312"/>
          <w:i w:val="0"/>
          <w:iCs w:val="0"/>
          <w:caps w:val="0"/>
          <w:color w:val="000000"/>
          <w:spacing w:val="0"/>
          <w:kern w:val="0"/>
          <w:sz w:val="31"/>
          <w:szCs w:val="31"/>
          <w:shd w:val="clear" w:fill="FFFFFF"/>
          <w:lang w:val="en-US" w:eastAsia="zh-CN" w:bidi="ar"/>
        </w:rPr>
      </w:pPr>
      <w:r>
        <w:rPr>
          <w:rFonts w:hint="eastAsia" w:ascii="仿宋_GB2312" w:hAnsi="仿宋_GB2312" w:eastAsia="仿宋_GB2312" w:cs="仿宋_GB2312"/>
          <w:color w:val="000000"/>
          <w:sz w:val="32"/>
          <w:szCs w:val="32"/>
        </w:rPr>
        <w:t>2025年度，台儿庄区文化和旅游局</w:t>
      </w:r>
      <w:r>
        <w:rPr>
          <w:rFonts w:hint="eastAsia" w:ascii="仿宋_GB2312" w:hAnsi="宋体" w:eastAsia="仿宋_GB2312" w:cs="仿宋_GB2312"/>
          <w:i w:val="0"/>
          <w:iCs w:val="0"/>
          <w:caps w:val="0"/>
          <w:color w:val="000000"/>
          <w:spacing w:val="0"/>
          <w:kern w:val="0"/>
          <w:sz w:val="31"/>
          <w:szCs w:val="31"/>
          <w:shd w:val="clear" w:fill="FFFFFF"/>
          <w:lang w:val="en-US" w:eastAsia="zh-CN" w:bidi="ar"/>
        </w:rPr>
        <w:t>坚持以习近平新时代中国特色社会主义思想为指导，认真贯彻落实《条例》和各级部门关于政务公开文件精神，结合工作实际，持续完善主动公开内容，规范依申请公开程序，健全政务公开工作机制，不断强化组织引领与队伍建设。通过动态调整和优化信息公开目录体系，丰富公开内容、提升公开质量，切实保障人民群众的知情权、参与权和监督权。</w:t>
      </w:r>
    </w:p>
    <w:p w14:paraId="9E2C833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（一）主动公开方面。</w:t>
      </w:r>
      <w:r>
        <w:rPr>
          <w:rFonts w:hint="eastAsia" w:ascii="仿宋_GB2312" w:hAnsi="仿宋_GB2312" w:eastAsia="仿宋_GB2312" w:cs="仿宋_GB2312"/>
          <w:color w:val="000000"/>
          <w:sz w:val="32"/>
          <w:szCs w:val="32"/>
          <w:lang w:val="en-US" w:eastAsia="zh-CN"/>
        </w:rPr>
        <w:t>我局紧扣主责主业与公众关切，主动、及时做好信息公开工作，持续畅通信息供给渠道。</w:t>
      </w:r>
      <w:r>
        <w:rPr>
          <w:rFonts w:hint="eastAsia" w:ascii="仿宋_GB2312" w:hAnsi="仿宋_GB2312" w:eastAsia="仿宋_GB2312" w:cs="仿宋_GB2312"/>
          <w:color w:val="000000"/>
          <w:sz w:val="32"/>
          <w:szCs w:val="32"/>
        </w:rPr>
        <w:t>本年度主动公开政府信息</w:t>
      </w:r>
      <w:r>
        <w:rPr>
          <w:rFonts w:hint="default" w:ascii="仿宋_GB2312" w:hAnsi="仿宋_GB2312" w:eastAsia="仿宋_GB2312" w:cs="仿宋_GB2312"/>
          <w:color w:val="000000"/>
          <w:sz w:val="32"/>
          <w:szCs w:val="32"/>
          <w:lang w:val="en-US"/>
        </w:rPr>
        <w:t>60</w:t>
      </w:r>
      <w:r>
        <w:rPr>
          <w:rFonts w:hint="eastAsia" w:ascii="仿宋_GB2312" w:hAnsi="仿宋_GB2312" w:eastAsia="仿宋_GB2312" w:cs="仿宋_GB2312"/>
          <w:color w:val="000000"/>
          <w:sz w:val="32"/>
          <w:szCs w:val="32"/>
          <w:lang w:val="en-US" w:eastAsia="zh-CN"/>
        </w:rPr>
        <w:t>余</w:t>
      </w:r>
      <w:r>
        <w:rPr>
          <w:rFonts w:hint="eastAsia" w:ascii="仿宋_GB2312" w:hAnsi="仿宋_GB2312" w:eastAsia="仿宋_GB2312" w:cs="仿宋_GB2312"/>
          <w:color w:val="000000"/>
          <w:sz w:val="32"/>
          <w:szCs w:val="32"/>
        </w:rPr>
        <w:t>件，其中行政权力运行公开</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000000"/>
          <w:sz w:val="32"/>
          <w:szCs w:val="32"/>
        </w:rPr>
        <w:t>件，重</w:t>
      </w:r>
      <w:r>
        <w:rPr>
          <w:rFonts w:hint="eastAsia" w:ascii="仿宋_GB2312" w:hAnsi="仿宋_GB2312" w:eastAsia="仿宋_GB2312" w:cs="仿宋_GB2312"/>
          <w:color w:val="000000"/>
          <w:sz w:val="32"/>
          <w:szCs w:val="32"/>
          <w:lang w:eastAsia="zh-CN"/>
        </w:rPr>
        <w:t>大民生</w:t>
      </w:r>
      <w:r>
        <w:rPr>
          <w:rFonts w:hint="eastAsia" w:ascii="仿宋_GB2312" w:hAnsi="仿宋_GB2312" w:eastAsia="仿宋_GB2312" w:cs="仿宋_GB2312"/>
          <w:color w:val="000000"/>
          <w:sz w:val="32"/>
          <w:szCs w:val="32"/>
        </w:rPr>
        <w:t>信息公开</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件。</w:t>
      </w:r>
    </w:p>
    <w:p w14:paraId="299B853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（二）依申请公开方面。</w:t>
      </w:r>
      <w:r>
        <w:rPr>
          <w:rFonts w:hint="eastAsia" w:ascii="楷体_GB2312" w:hAnsi="仿宋_GB2312" w:eastAsia="楷体_GB2312" w:cs="仿宋_GB2312"/>
          <w:color w:val="000000"/>
          <w:sz w:val="32"/>
          <w:szCs w:val="32"/>
          <w:lang w:eastAsia="zh-CN"/>
        </w:rPr>
        <w:t>我</w:t>
      </w:r>
      <w:r>
        <w:rPr>
          <w:rFonts w:hint="eastAsia" w:ascii="仿宋_GB2312" w:hAnsi="仿宋_GB2312" w:eastAsia="仿宋_GB2312" w:cs="仿宋_GB2312"/>
          <w:color w:val="000000"/>
          <w:sz w:val="32"/>
          <w:szCs w:val="32"/>
        </w:rPr>
        <w:t>局高度重视依申请公开工作，严格执行相关办理规范与制度要求，安排</w:t>
      </w:r>
      <w:r>
        <w:rPr>
          <w:rFonts w:hint="eastAsia" w:ascii="仿宋_GB2312" w:hAnsi="仿宋_GB2312" w:eastAsia="仿宋_GB2312" w:cs="仿宋_GB2312"/>
          <w:color w:val="000000"/>
          <w:sz w:val="32"/>
          <w:szCs w:val="32"/>
          <w:lang w:eastAsia="zh-CN"/>
        </w:rPr>
        <w:t>人员</w:t>
      </w:r>
      <w:r>
        <w:rPr>
          <w:rFonts w:hint="eastAsia" w:ascii="仿宋_GB2312" w:hAnsi="仿宋_GB2312" w:eastAsia="仿宋_GB2312" w:cs="仿宋_GB2312"/>
          <w:color w:val="000000"/>
          <w:sz w:val="32"/>
          <w:szCs w:val="32"/>
        </w:rPr>
        <w:t>密切关注申请动态。经统计，2025年度</w:t>
      </w:r>
      <w:r>
        <w:rPr>
          <w:rFonts w:ascii="仿宋_GB2312" w:hAnsi="宋体" w:eastAsia="仿宋_GB2312" w:cs="仿宋_GB2312"/>
          <w:i w:val="0"/>
          <w:iCs w:val="0"/>
          <w:caps w:val="0"/>
          <w:color w:val="000000"/>
          <w:spacing w:val="0"/>
          <w:kern w:val="0"/>
          <w:sz w:val="31"/>
          <w:szCs w:val="31"/>
          <w:shd w:val="clear" w:fill="FFFFFF"/>
          <w:lang w:val="en-US" w:eastAsia="zh-CN" w:bidi="ar"/>
        </w:rPr>
        <w:t>处理依申请公开0件</w:t>
      </w:r>
      <w:r>
        <w:rPr>
          <w:rFonts w:hint="eastAsia" w:ascii="仿宋_GB2312" w:hAnsi="仿宋_GB2312" w:eastAsia="仿宋_GB2312" w:cs="仿宋_GB2312"/>
          <w:color w:val="000000"/>
          <w:sz w:val="32"/>
          <w:szCs w:val="32"/>
        </w:rPr>
        <w:t>。</w:t>
      </w:r>
    </w:p>
    <w:p w14:paraId="6147A74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（三）政府信息管理方面。</w:t>
      </w:r>
      <w:r>
        <w:rPr>
          <w:rFonts w:hint="eastAsia" w:ascii="仿宋_GB2312" w:hAnsi="仿宋_GB2312" w:eastAsia="仿宋_GB2312" w:cs="仿宋_GB2312"/>
          <w:color w:val="000000"/>
          <w:sz w:val="32"/>
          <w:szCs w:val="32"/>
          <w:lang w:val="en-US" w:eastAsia="zh-CN"/>
        </w:rPr>
        <w:t>严格遵守信息发布操作规范，完善信息发布机制，所有公开事项均按照政务公开工作流程进行确认和发布。安排专人负责政府信息公开工作,严格落实政府网站信息发布程序，</w:t>
      </w:r>
      <w:r>
        <w:rPr>
          <w:rFonts w:hint="eastAsia" w:ascii="仿宋_GB2312" w:hAnsi="仿宋_GB2312" w:eastAsia="仿宋_GB2312" w:cs="仿宋_GB2312"/>
          <w:color w:val="000000"/>
          <w:sz w:val="32"/>
          <w:szCs w:val="32"/>
        </w:rPr>
        <w:t>全力推动我局政务公开工作向标准化、规范化方向迈进。</w:t>
      </w:r>
    </w:p>
    <w:p w14:paraId="D70DF77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（四）平台建设方面。</w:t>
      </w:r>
      <w:r>
        <w:rPr>
          <w:rFonts w:hint="eastAsia" w:ascii="仿宋_GB2312" w:hAnsi="仿宋_GB2312" w:eastAsia="仿宋_GB2312" w:cs="仿宋_GB2312"/>
          <w:color w:val="000000"/>
          <w:sz w:val="32"/>
          <w:szCs w:val="32"/>
        </w:rPr>
        <w:t>持续优化政府信息公开平台功能，以台儿庄区政府门户网站“政府信息公开”专栏为核心载体，扎实开展信息公开与政策宣传工作。同时，积极拓展新媒体传播渠道，充分运用微信公众号等平台的传播优势，创新信息公开形式，拓宽文旅信息发布与宣传覆盖面，提升信息传播的时效性与影响力。</w:t>
      </w:r>
    </w:p>
    <w:p w14:paraId="59A7D37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（五）监督保障方面。</w:t>
      </w:r>
      <w:r>
        <w:rPr>
          <w:rFonts w:hint="eastAsia" w:ascii="仿宋_GB2312" w:hAnsi="仿宋_GB2312" w:eastAsia="仿宋_GB2312" w:cs="仿宋_GB2312"/>
          <w:color w:val="000000"/>
          <w:sz w:val="32"/>
          <w:szCs w:val="32"/>
          <w:lang w:val="en-US" w:eastAsia="zh-CN"/>
        </w:rPr>
        <w:t>持续完善政府信息公开工作机制，压实主体责任。通过召开专题会议、</w:t>
      </w:r>
      <w:bookmarkStart w:id="10" w:name="_GoBack"/>
      <w:bookmarkEnd w:id="10"/>
      <w:r>
        <w:rPr>
          <w:rFonts w:hint="eastAsia" w:ascii="仿宋_GB2312" w:hAnsi="仿宋_GB2312" w:eastAsia="仿宋_GB2312" w:cs="仿宋_GB2312"/>
          <w:color w:val="000000"/>
          <w:sz w:val="32"/>
          <w:szCs w:val="32"/>
          <w:lang w:val="en-US" w:eastAsia="zh-CN"/>
        </w:rPr>
        <w:t>组织业务培训等方式，不断提升工作人员业务能力。同时强化日常督导，定期检查政府网站信息发布情况，确保各项工作落到实处。</w:t>
      </w:r>
    </w:p>
    <w:p w14:paraId="4FA0E4DA">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二、主动公开政府信息情况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14:paraId="A39E548F">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B9D70E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8385D3A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BF6AE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AF4C4C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6561CC3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1C95EFF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0ADF66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5523BB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D1FC87C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ED6DBE0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1CDE34D1">
            <w:pPr>
              <w:widowControl/>
              <w:jc w:val="center"/>
              <w:rPr>
                <w:rFonts w:ascii="仿宋_GB2312" w:hAnsi="Calibri" w:eastAsia="仿宋_GB2312" w:cs="Calibri"/>
                <w:color w:val="000000"/>
                <w:kern w:val="0"/>
                <w:szCs w:val="21"/>
              </w:rPr>
            </w:pPr>
            <w:r>
              <w:rPr>
                <w:rFonts w:hint="eastAsia" w:ascii="仿宋_GB2312" w:hAnsi="宋体" w:eastAsia="仿宋_GB2312" w:cs="宋体"/>
                <w:color w:val="000000"/>
                <w:kern w:val="0"/>
                <w:szCs w:val="21"/>
              </w:rPr>
              <w:t>0</w:t>
            </w:r>
          </w:p>
        </w:tc>
      </w:tr>
      <w:tr w14:paraId="F198BD4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6BDD3B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DE0902F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183D12B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A53F794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23AC5D7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B6C23A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DCBD60D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CCAF593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D3A38C9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678FA5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9BA2A">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3CDE574">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14:paraId="C85FE1E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7E031C3">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4C054984">
        <w:tblPrEx>
          <w:tblCellMar>
            <w:top w:w="0" w:type="dxa"/>
            <w:left w:w="108" w:type="dxa"/>
            <w:bottom w:w="0" w:type="dxa"/>
            <w:right w:w="108" w:type="dxa"/>
          </w:tblCellMar>
        </w:tblPrEx>
        <w:trPr>
          <w:trHeight w:val="549"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D0AC410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9EF141C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BF32183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C928495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98F63904">
            <w:pPr>
              <w:widowControl/>
              <w:jc w:val="center"/>
              <w:rPr>
                <w:rFonts w:ascii="仿宋_GB2312" w:hAnsi="Calibri" w:eastAsia="仿宋_GB2312" w:cs="Calibri"/>
                <w:color w:val="000000"/>
                <w:kern w:val="0"/>
                <w:szCs w:val="21"/>
              </w:rPr>
            </w:pPr>
            <w:r>
              <w:rPr>
                <w:rFonts w:ascii="仿宋_GB2312" w:hAnsi="Calibri" w:eastAsia="仿宋_GB2312" w:cs="Calibri"/>
                <w:color w:val="000000"/>
                <w:kern w:val="0"/>
                <w:szCs w:val="21"/>
                <w:lang w:val="en-US"/>
              </w:rPr>
              <w:t>2</w:t>
            </w:r>
          </w:p>
        </w:tc>
      </w:tr>
      <w:tr w14:paraId="A94B07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C9388F7A">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6832D52">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14:paraId="7990BC3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C95F2B3">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EC50579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ECBA215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BEDD86F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0CAC10E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2983A6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D0DDD055">
            <w:pPr>
              <w:widowControl/>
              <w:jc w:val="center"/>
              <w:rPr>
                <w:rFonts w:ascii="仿宋_GB2312" w:hAnsi="Calibri" w:eastAsia="仿宋_GB2312" w:cs="Calibri"/>
                <w:color w:val="000000"/>
                <w:kern w:val="0"/>
                <w:szCs w:val="21"/>
              </w:rPr>
            </w:pPr>
            <w:r>
              <w:rPr>
                <w:rFonts w:ascii="仿宋_GB2312" w:hAnsi="Calibri" w:eastAsia="仿宋_GB2312" w:cs="Calibri"/>
                <w:color w:val="000000"/>
                <w:kern w:val="0"/>
                <w:szCs w:val="21"/>
              </w:rPr>
              <w:t>0</w:t>
            </w:r>
          </w:p>
        </w:tc>
      </w:tr>
    </w:tbl>
    <w:p w14:paraId="0F6EDFF5">
      <w:pPr>
        <w:widowControl/>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三、收到和处理政府信息公开申请情况</w:t>
      </w:r>
    </w:p>
    <w:tbl>
      <w:tblPr>
        <w:tblStyle w:val="6"/>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BC14C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shd w:val="clear" w:color="auto" w:fill="auto"/>
            <w:tcMar>
              <w:left w:w="108" w:type="dxa"/>
              <w:right w:w="108" w:type="dxa"/>
            </w:tcMar>
            <w:vAlign w:val="center"/>
          </w:tcPr>
          <w:p w14:paraId="C9F8C387">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94B0F0C6">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54" w:type="dxa"/>
            <w:gridSpan w:val="7"/>
            <w:shd w:val="clear" w:color="auto" w:fill="auto"/>
            <w:tcMar>
              <w:left w:w="108" w:type="dxa"/>
              <w:right w:w="108" w:type="dxa"/>
            </w:tcMar>
            <w:vAlign w:val="center"/>
          </w:tcPr>
          <w:p w14:paraId="997C92E8">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1C361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shd w:val="clear" w:color="auto" w:fill="auto"/>
            <w:tcMar>
              <w:left w:w="108" w:type="dxa"/>
              <w:right w:w="108" w:type="dxa"/>
            </w:tcMar>
            <w:vAlign w:val="center"/>
          </w:tcPr>
          <w:p w14:paraId="3ED59763">
            <w:pPr>
              <w:jc w:val="center"/>
              <w:rPr>
                <w:rFonts w:ascii="仿宋_GB2312" w:eastAsia="仿宋_GB2312"/>
                <w:szCs w:val="21"/>
              </w:rPr>
            </w:pPr>
          </w:p>
        </w:tc>
        <w:tc>
          <w:tcPr>
            <w:tcW w:w="752" w:type="dxa"/>
            <w:vMerge w:val="restart"/>
            <w:shd w:val="clear" w:color="auto" w:fill="auto"/>
            <w:tcMar>
              <w:left w:w="108" w:type="dxa"/>
              <w:right w:w="108" w:type="dxa"/>
            </w:tcMar>
            <w:vAlign w:val="center"/>
          </w:tcPr>
          <w:p w14:paraId="0B45BB87">
            <w:pPr>
              <w:widowControl/>
              <w:jc w:val="center"/>
              <w:rPr>
                <w:rFonts w:ascii="黑体" w:hAnsi="黑体" w:eastAsia="黑体"/>
                <w:szCs w:val="21"/>
              </w:rPr>
            </w:pPr>
            <w:r>
              <w:rPr>
                <w:rFonts w:hint="eastAsia" w:ascii="黑体" w:hAnsi="黑体" w:eastAsia="黑体"/>
                <w:kern w:val="0"/>
                <w:szCs w:val="21"/>
              </w:rPr>
              <w:t>自然人</w:t>
            </w:r>
          </w:p>
        </w:tc>
        <w:tc>
          <w:tcPr>
            <w:tcW w:w="3001" w:type="dxa"/>
            <w:gridSpan w:val="5"/>
            <w:shd w:val="clear" w:color="auto" w:fill="auto"/>
            <w:tcMar>
              <w:left w:w="108" w:type="dxa"/>
              <w:right w:w="108" w:type="dxa"/>
            </w:tcMar>
            <w:vAlign w:val="center"/>
          </w:tcPr>
          <w:p w14:paraId="BDF3CE6F">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226C56CB">
            <w:pPr>
              <w:widowControl/>
              <w:jc w:val="center"/>
              <w:rPr>
                <w:rFonts w:ascii="黑体" w:hAnsi="黑体" w:eastAsia="黑体"/>
                <w:szCs w:val="21"/>
              </w:rPr>
            </w:pPr>
            <w:r>
              <w:rPr>
                <w:rFonts w:hint="eastAsia" w:ascii="黑体" w:hAnsi="黑体" w:eastAsia="黑体"/>
                <w:kern w:val="0"/>
                <w:szCs w:val="21"/>
              </w:rPr>
              <w:t>总计</w:t>
            </w:r>
          </w:p>
        </w:tc>
      </w:tr>
      <w:tr w14:paraId="FB1DF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shd w:val="clear" w:color="auto" w:fill="auto"/>
            <w:tcMar>
              <w:left w:w="108" w:type="dxa"/>
              <w:right w:w="108" w:type="dxa"/>
            </w:tcMar>
            <w:vAlign w:val="center"/>
          </w:tcPr>
          <w:p w14:paraId="FD7FCF5E">
            <w:pPr>
              <w:jc w:val="center"/>
              <w:rPr>
                <w:rFonts w:ascii="仿宋_GB2312" w:eastAsia="仿宋_GB2312"/>
                <w:szCs w:val="21"/>
              </w:rPr>
            </w:pPr>
          </w:p>
        </w:tc>
        <w:tc>
          <w:tcPr>
            <w:tcW w:w="752" w:type="dxa"/>
            <w:vMerge w:val="continue"/>
            <w:shd w:val="clear" w:color="auto" w:fill="auto"/>
            <w:tcMar>
              <w:left w:w="108" w:type="dxa"/>
              <w:right w:w="108" w:type="dxa"/>
            </w:tcMar>
            <w:vAlign w:val="center"/>
          </w:tcPr>
          <w:p w14:paraId="4EF8AFD4">
            <w:pPr>
              <w:jc w:val="center"/>
              <w:rPr>
                <w:rFonts w:ascii="黑体" w:hAnsi="黑体" w:eastAsia="黑体"/>
                <w:szCs w:val="21"/>
              </w:rPr>
            </w:pPr>
          </w:p>
        </w:tc>
        <w:tc>
          <w:tcPr>
            <w:tcW w:w="540" w:type="dxa"/>
            <w:shd w:val="clear" w:color="auto" w:fill="auto"/>
            <w:tcMar>
              <w:left w:w="108" w:type="dxa"/>
              <w:right w:w="108" w:type="dxa"/>
            </w:tcMar>
            <w:vAlign w:val="center"/>
          </w:tcPr>
          <w:p w14:paraId="F50EF7B5">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FD76835D">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6BB373AE">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D858DC02">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6" w:type="dxa"/>
            <w:shd w:val="clear" w:color="auto" w:fill="auto"/>
            <w:tcMar>
              <w:left w:w="108" w:type="dxa"/>
              <w:right w:w="108" w:type="dxa"/>
            </w:tcMar>
            <w:vAlign w:val="center"/>
          </w:tcPr>
          <w:p w14:paraId="0AEC3F10">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0CCCA20A">
            <w:pPr>
              <w:jc w:val="center"/>
              <w:rPr>
                <w:rFonts w:ascii="仿宋_GB2312" w:eastAsia="仿宋_GB2312"/>
                <w:szCs w:val="21"/>
              </w:rPr>
            </w:pPr>
          </w:p>
        </w:tc>
      </w:tr>
      <w:tr w14:paraId="FB007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795D2CAA">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52" w:type="dxa"/>
            <w:shd w:val="clear" w:color="auto" w:fill="auto"/>
            <w:tcMar>
              <w:left w:w="108" w:type="dxa"/>
              <w:right w:w="108" w:type="dxa"/>
            </w:tcMar>
            <w:vAlign w:val="center"/>
          </w:tcPr>
          <w:p w14:paraId="9A94EA5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A787BC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3E63FA4">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1878D4CF">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17EB570">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8D29E0CF">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2AB979E">
            <w:pPr>
              <w:widowControl/>
              <w:spacing w:line="240" w:lineRule="exact"/>
              <w:jc w:val="center"/>
              <w:rPr>
                <w:rFonts w:ascii="仿宋_GB2312" w:eastAsia="仿宋_GB2312"/>
                <w:szCs w:val="21"/>
              </w:rPr>
            </w:pPr>
            <w:r>
              <w:rPr>
                <w:rFonts w:hint="eastAsia" w:ascii="仿宋_GB2312" w:eastAsia="仿宋_GB2312"/>
                <w:szCs w:val="21"/>
              </w:rPr>
              <w:t>0</w:t>
            </w:r>
          </w:p>
        </w:tc>
      </w:tr>
      <w:tr w14:paraId="31F07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1EDCFBF2">
            <w:pPr>
              <w:widowControl/>
              <w:rPr>
                <w:rFonts w:ascii="黑体" w:hAnsi="黑体" w:eastAsia="黑体"/>
                <w:szCs w:val="21"/>
              </w:rPr>
            </w:pPr>
            <w:r>
              <w:rPr>
                <w:rFonts w:hint="eastAsia" w:ascii="黑体" w:hAnsi="黑体" w:eastAsia="黑体"/>
                <w:kern w:val="0"/>
                <w:szCs w:val="21"/>
              </w:rPr>
              <w:t>二、上年结转政府信息公开申请数量</w:t>
            </w:r>
          </w:p>
        </w:tc>
        <w:tc>
          <w:tcPr>
            <w:tcW w:w="752" w:type="dxa"/>
            <w:shd w:val="clear" w:color="auto" w:fill="auto"/>
            <w:tcMar>
              <w:left w:w="108" w:type="dxa"/>
              <w:right w:w="108" w:type="dxa"/>
            </w:tcMar>
            <w:vAlign w:val="center"/>
          </w:tcPr>
          <w:p w14:paraId="16DE642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916026C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E38F3C8B">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4FEFC708">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18423AB2">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AC9CD6D8">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09BF73EC">
            <w:pPr>
              <w:widowControl/>
              <w:spacing w:line="240" w:lineRule="exact"/>
              <w:jc w:val="center"/>
              <w:rPr>
                <w:rFonts w:ascii="仿宋_GB2312" w:eastAsia="仿宋_GB2312"/>
                <w:szCs w:val="21"/>
              </w:rPr>
            </w:pPr>
            <w:r>
              <w:rPr>
                <w:rFonts w:hint="eastAsia" w:ascii="仿宋_GB2312" w:eastAsia="仿宋_GB2312"/>
                <w:szCs w:val="21"/>
              </w:rPr>
              <w:t>0</w:t>
            </w:r>
          </w:p>
        </w:tc>
      </w:tr>
      <w:tr w14:paraId="3577C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shd w:val="clear" w:color="auto" w:fill="auto"/>
            <w:tcMar>
              <w:left w:w="108" w:type="dxa"/>
              <w:right w:w="108" w:type="dxa"/>
            </w:tcMar>
            <w:vAlign w:val="center"/>
          </w:tcPr>
          <w:p w14:paraId="B9FC65CF">
            <w:pPr>
              <w:widowControl/>
              <w:spacing w:after="180"/>
              <w:rPr>
                <w:rFonts w:ascii="黑体" w:hAnsi="黑体" w:eastAsia="黑体"/>
                <w:szCs w:val="21"/>
              </w:rPr>
            </w:pPr>
            <w:r>
              <w:rPr>
                <w:rFonts w:hint="eastAsia" w:ascii="黑体" w:hAnsi="黑体" w:eastAsia="黑体"/>
                <w:kern w:val="0"/>
                <w:szCs w:val="21"/>
              </w:rPr>
              <w:t>三、本年度办理结果</w:t>
            </w:r>
          </w:p>
        </w:tc>
        <w:tc>
          <w:tcPr>
            <w:tcW w:w="4672" w:type="dxa"/>
            <w:gridSpan w:val="2"/>
            <w:shd w:val="clear" w:color="auto" w:fill="auto"/>
            <w:tcMar>
              <w:left w:w="108" w:type="dxa"/>
              <w:right w:w="108" w:type="dxa"/>
            </w:tcMar>
            <w:vAlign w:val="center"/>
          </w:tcPr>
          <w:p w14:paraId="A903FC2F">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11D819A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CD7078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E1762D64">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D9DC6478">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80B00269">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2F838F1A">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297530A8">
            <w:pPr>
              <w:widowControl/>
              <w:spacing w:line="240" w:lineRule="exact"/>
              <w:jc w:val="center"/>
              <w:rPr>
                <w:rFonts w:ascii="仿宋_GB2312" w:eastAsia="仿宋_GB2312"/>
                <w:szCs w:val="21"/>
              </w:rPr>
            </w:pPr>
            <w:r>
              <w:rPr>
                <w:rFonts w:hint="eastAsia" w:ascii="仿宋_GB2312" w:eastAsia="仿宋_GB2312"/>
                <w:szCs w:val="21"/>
              </w:rPr>
              <w:t>0</w:t>
            </w:r>
          </w:p>
        </w:tc>
      </w:tr>
      <w:tr w14:paraId="4BF76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30AE747A">
            <w:pPr>
              <w:rPr>
                <w:rFonts w:ascii="黑体" w:hAnsi="黑体" w:eastAsia="黑体"/>
                <w:szCs w:val="21"/>
              </w:rPr>
            </w:pPr>
          </w:p>
        </w:tc>
        <w:tc>
          <w:tcPr>
            <w:tcW w:w="4672" w:type="dxa"/>
            <w:gridSpan w:val="2"/>
            <w:shd w:val="clear" w:color="auto" w:fill="auto"/>
            <w:tcMar>
              <w:left w:w="108" w:type="dxa"/>
              <w:right w:w="108" w:type="dxa"/>
            </w:tcMar>
            <w:vAlign w:val="center"/>
          </w:tcPr>
          <w:p w14:paraId="3950CC1E">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77200C2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D47CC41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D418DD7E">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A86A0FB9">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DD1E5C15">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26F92EFC">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3086698B">
            <w:pPr>
              <w:widowControl/>
              <w:spacing w:line="240" w:lineRule="exact"/>
              <w:jc w:val="center"/>
              <w:rPr>
                <w:rFonts w:ascii="仿宋_GB2312" w:eastAsia="仿宋_GB2312"/>
                <w:szCs w:val="21"/>
              </w:rPr>
            </w:pPr>
            <w:r>
              <w:rPr>
                <w:rFonts w:hint="eastAsia" w:ascii="仿宋_GB2312" w:eastAsia="仿宋_GB2312"/>
                <w:szCs w:val="21"/>
              </w:rPr>
              <w:t>0</w:t>
            </w:r>
          </w:p>
        </w:tc>
      </w:tr>
      <w:tr w14:paraId="D9F4F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9D5DCF3E">
            <w:pPr>
              <w:rPr>
                <w:rFonts w:ascii="黑体" w:hAnsi="黑体" w:eastAsia="黑体"/>
                <w:szCs w:val="21"/>
              </w:rPr>
            </w:pPr>
          </w:p>
        </w:tc>
        <w:tc>
          <w:tcPr>
            <w:tcW w:w="1699" w:type="dxa"/>
            <w:vMerge w:val="restart"/>
            <w:shd w:val="clear" w:color="auto" w:fill="auto"/>
            <w:tcMar>
              <w:left w:w="108" w:type="dxa"/>
              <w:right w:w="108" w:type="dxa"/>
            </w:tcMar>
            <w:vAlign w:val="center"/>
          </w:tcPr>
          <w:p w14:paraId="60EB6EF4">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3" w:type="dxa"/>
            <w:shd w:val="clear" w:color="auto" w:fill="auto"/>
            <w:tcMar>
              <w:left w:w="108" w:type="dxa"/>
              <w:right w:w="108" w:type="dxa"/>
            </w:tcMar>
            <w:vAlign w:val="center"/>
          </w:tcPr>
          <w:p w14:paraId="9B6E3579">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52" w:type="dxa"/>
            <w:shd w:val="clear" w:color="auto" w:fill="auto"/>
            <w:tcMar>
              <w:left w:w="108" w:type="dxa"/>
              <w:right w:w="108" w:type="dxa"/>
            </w:tcMar>
            <w:vAlign w:val="center"/>
          </w:tcPr>
          <w:p w14:paraId="5F6C7B8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8FEA49B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664F29E">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45A56125">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C385E197">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11C90435">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BD9DE6EE">
            <w:pPr>
              <w:widowControl/>
              <w:spacing w:line="240" w:lineRule="exact"/>
              <w:jc w:val="center"/>
              <w:rPr>
                <w:rFonts w:ascii="仿宋_GB2312" w:eastAsia="仿宋_GB2312"/>
                <w:szCs w:val="21"/>
              </w:rPr>
            </w:pPr>
            <w:r>
              <w:rPr>
                <w:rFonts w:hint="eastAsia" w:ascii="仿宋_GB2312" w:eastAsia="仿宋_GB2312"/>
                <w:szCs w:val="21"/>
              </w:rPr>
              <w:t>0</w:t>
            </w:r>
          </w:p>
        </w:tc>
      </w:tr>
      <w:tr w14:paraId="9B988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F48014D">
            <w:pPr>
              <w:rPr>
                <w:rFonts w:ascii="黑体" w:hAnsi="黑体" w:eastAsia="黑体"/>
                <w:szCs w:val="21"/>
              </w:rPr>
            </w:pPr>
          </w:p>
        </w:tc>
        <w:tc>
          <w:tcPr>
            <w:tcW w:w="1699" w:type="dxa"/>
            <w:vMerge w:val="continue"/>
            <w:shd w:val="clear" w:color="auto" w:fill="auto"/>
            <w:tcMar>
              <w:left w:w="108" w:type="dxa"/>
              <w:right w:w="108" w:type="dxa"/>
            </w:tcMar>
            <w:vAlign w:val="center"/>
          </w:tcPr>
          <w:p w14:paraId="39990FD2">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C690143E">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52" w:type="dxa"/>
            <w:shd w:val="clear" w:color="auto" w:fill="auto"/>
            <w:tcMar>
              <w:left w:w="108" w:type="dxa"/>
              <w:right w:w="108" w:type="dxa"/>
            </w:tcMar>
            <w:vAlign w:val="center"/>
          </w:tcPr>
          <w:p w14:paraId="BF845135">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B9C928C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643D7E0">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A7E093C">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7F720486">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C2937171">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096256C4">
            <w:pPr>
              <w:widowControl/>
              <w:spacing w:line="240" w:lineRule="exact"/>
              <w:jc w:val="center"/>
              <w:rPr>
                <w:rFonts w:ascii="仿宋_GB2312" w:eastAsia="仿宋_GB2312"/>
                <w:szCs w:val="21"/>
              </w:rPr>
            </w:pPr>
            <w:r>
              <w:rPr>
                <w:rFonts w:hint="eastAsia" w:ascii="仿宋_GB2312" w:eastAsia="仿宋_GB2312"/>
                <w:szCs w:val="21"/>
              </w:rPr>
              <w:t>0</w:t>
            </w:r>
          </w:p>
        </w:tc>
      </w:tr>
      <w:tr w14:paraId="377D2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FA270F28">
            <w:pPr>
              <w:rPr>
                <w:rFonts w:ascii="黑体" w:hAnsi="黑体" w:eastAsia="黑体"/>
                <w:szCs w:val="21"/>
              </w:rPr>
            </w:pPr>
          </w:p>
        </w:tc>
        <w:tc>
          <w:tcPr>
            <w:tcW w:w="1699" w:type="dxa"/>
            <w:vMerge w:val="continue"/>
            <w:shd w:val="clear" w:color="auto" w:fill="auto"/>
            <w:tcMar>
              <w:left w:w="108" w:type="dxa"/>
              <w:right w:w="108" w:type="dxa"/>
            </w:tcMar>
            <w:vAlign w:val="center"/>
          </w:tcPr>
          <w:p w14:paraId="FC7D9526">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79422489">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52" w:type="dxa"/>
            <w:shd w:val="clear" w:color="auto" w:fill="auto"/>
            <w:tcMar>
              <w:left w:w="108" w:type="dxa"/>
              <w:right w:w="108" w:type="dxa"/>
            </w:tcMar>
            <w:vAlign w:val="center"/>
          </w:tcPr>
          <w:p w14:paraId="589EC61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B1A0DDD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878E5810">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AC73C1C">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957CBC2">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DE818BE6">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83E1BC5B">
            <w:pPr>
              <w:widowControl/>
              <w:spacing w:line="240" w:lineRule="exact"/>
              <w:jc w:val="center"/>
              <w:rPr>
                <w:rFonts w:ascii="仿宋_GB2312" w:eastAsia="仿宋_GB2312"/>
                <w:szCs w:val="21"/>
              </w:rPr>
            </w:pPr>
            <w:r>
              <w:rPr>
                <w:rFonts w:hint="eastAsia" w:ascii="仿宋_GB2312" w:eastAsia="仿宋_GB2312"/>
                <w:szCs w:val="21"/>
              </w:rPr>
              <w:t>0</w:t>
            </w:r>
          </w:p>
        </w:tc>
      </w:tr>
      <w:tr w14:paraId="ABC7E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C14E7F1">
            <w:pPr>
              <w:rPr>
                <w:rFonts w:ascii="黑体" w:hAnsi="黑体" w:eastAsia="黑体"/>
                <w:szCs w:val="21"/>
              </w:rPr>
            </w:pPr>
          </w:p>
        </w:tc>
        <w:tc>
          <w:tcPr>
            <w:tcW w:w="1699" w:type="dxa"/>
            <w:vMerge w:val="continue"/>
            <w:shd w:val="clear" w:color="auto" w:fill="auto"/>
            <w:tcMar>
              <w:left w:w="108" w:type="dxa"/>
              <w:right w:w="108" w:type="dxa"/>
            </w:tcMar>
            <w:vAlign w:val="center"/>
          </w:tcPr>
          <w:p w14:paraId="8AAFCE52">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E54B9793">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52" w:type="dxa"/>
            <w:shd w:val="clear" w:color="auto" w:fill="auto"/>
            <w:tcMar>
              <w:left w:w="108" w:type="dxa"/>
              <w:right w:w="108" w:type="dxa"/>
            </w:tcMar>
            <w:vAlign w:val="center"/>
          </w:tcPr>
          <w:p w14:paraId="10C49B9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6FC960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89E65A23">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E3ECF80">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9E564753">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774BB14D">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B4C966B3">
            <w:pPr>
              <w:widowControl/>
              <w:spacing w:line="240" w:lineRule="exact"/>
              <w:jc w:val="center"/>
              <w:rPr>
                <w:rFonts w:ascii="仿宋_GB2312" w:eastAsia="仿宋_GB2312"/>
                <w:szCs w:val="21"/>
              </w:rPr>
            </w:pPr>
            <w:r>
              <w:rPr>
                <w:rFonts w:hint="eastAsia" w:ascii="仿宋_GB2312" w:eastAsia="仿宋_GB2312"/>
                <w:szCs w:val="21"/>
              </w:rPr>
              <w:t>0</w:t>
            </w:r>
          </w:p>
        </w:tc>
      </w:tr>
      <w:tr w14:paraId="D1070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CC0B707">
            <w:pPr>
              <w:rPr>
                <w:rFonts w:ascii="黑体" w:hAnsi="黑体" w:eastAsia="黑体"/>
                <w:szCs w:val="21"/>
              </w:rPr>
            </w:pPr>
          </w:p>
        </w:tc>
        <w:tc>
          <w:tcPr>
            <w:tcW w:w="1699" w:type="dxa"/>
            <w:vMerge w:val="continue"/>
            <w:shd w:val="clear" w:color="auto" w:fill="auto"/>
            <w:tcMar>
              <w:left w:w="108" w:type="dxa"/>
              <w:right w:w="108" w:type="dxa"/>
            </w:tcMar>
            <w:vAlign w:val="center"/>
          </w:tcPr>
          <w:p w14:paraId="C9BF8BB4">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E999AF51">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52" w:type="dxa"/>
            <w:shd w:val="clear" w:color="auto" w:fill="auto"/>
            <w:tcMar>
              <w:left w:w="108" w:type="dxa"/>
              <w:right w:w="108" w:type="dxa"/>
            </w:tcMar>
            <w:vAlign w:val="center"/>
          </w:tcPr>
          <w:p w14:paraId="4A20EBA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BC783CE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ABF5AE2B">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134921E4">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99E0CCC5">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119B8EC3">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E9D4D1B">
            <w:pPr>
              <w:widowControl/>
              <w:spacing w:line="240" w:lineRule="exact"/>
              <w:jc w:val="center"/>
              <w:rPr>
                <w:rFonts w:ascii="仿宋_GB2312" w:eastAsia="仿宋_GB2312"/>
                <w:szCs w:val="21"/>
              </w:rPr>
            </w:pPr>
            <w:r>
              <w:rPr>
                <w:rFonts w:hint="eastAsia" w:ascii="仿宋_GB2312" w:eastAsia="仿宋_GB2312"/>
                <w:szCs w:val="21"/>
              </w:rPr>
              <w:t>0</w:t>
            </w:r>
          </w:p>
        </w:tc>
      </w:tr>
      <w:tr w14:paraId="F2877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33E78F8">
            <w:pPr>
              <w:rPr>
                <w:rFonts w:ascii="黑体" w:hAnsi="黑体" w:eastAsia="黑体"/>
                <w:szCs w:val="21"/>
              </w:rPr>
            </w:pPr>
          </w:p>
        </w:tc>
        <w:tc>
          <w:tcPr>
            <w:tcW w:w="1699" w:type="dxa"/>
            <w:vMerge w:val="continue"/>
            <w:shd w:val="clear" w:color="auto" w:fill="auto"/>
            <w:tcMar>
              <w:left w:w="108" w:type="dxa"/>
              <w:right w:w="108" w:type="dxa"/>
            </w:tcMar>
            <w:vAlign w:val="center"/>
          </w:tcPr>
          <w:p w14:paraId="30410D02">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0C26D9C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52" w:type="dxa"/>
            <w:shd w:val="clear" w:color="auto" w:fill="auto"/>
            <w:tcMar>
              <w:left w:w="108" w:type="dxa"/>
              <w:right w:w="108" w:type="dxa"/>
            </w:tcMar>
            <w:vAlign w:val="center"/>
          </w:tcPr>
          <w:p w14:paraId="73A9C944">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B4E324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96299E0E">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8E99B3BD">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5855556C">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CE359F48">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80229B1E">
            <w:pPr>
              <w:widowControl/>
              <w:spacing w:line="240" w:lineRule="exact"/>
              <w:jc w:val="center"/>
              <w:rPr>
                <w:rFonts w:ascii="仿宋_GB2312" w:eastAsia="仿宋_GB2312"/>
                <w:szCs w:val="21"/>
              </w:rPr>
            </w:pPr>
            <w:r>
              <w:rPr>
                <w:rFonts w:hint="eastAsia" w:ascii="仿宋_GB2312" w:eastAsia="仿宋_GB2312"/>
                <w:szCs w:val="21"/>
              </w:rPr>
              <w:t>0</w:t>
            </w:r>
          </w:p>
        </w:tc>
      </w:tr>
      <w:tr w14:paraId="856EC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FF8B4DD8">
            <w:pPr>
              <w:rPr>
                <w:rFonts w:ascii="黑体" w:hAnsi="黑体" w:eastAsia="黑体"/>
                <w:szCs w:val="21"/>
              </w:rPr>
            </w:pPr>
          </w:p>
        </w:tc>
        <w:tc>
          <w:tcPr>
            <w:tcW w:w="1699" w:type="dxa"/>
            <w:vMerge w:val="continue"/>
            <w:shd w:val="clear" w:color="auto" w:fill="auto"/>
            <w:tcMar>
              <w:left w:w="108" w:type="dxa"/>
              <w:right w:w="108" w:type="dxa"/>
            </w:tcMar>
            <w:vAlign w:val="center"/>
          </w:tcPr>
          <w:p w14:paraId="068740E3">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B3855219">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52" w:type="dxa"/>
            <w:shd w:val="clear" w:color="auto" w:fill="auto"/>
            <w:tcMar>
              <w:left w:w="108" w:type="dxa"/>
              <w:right w:w="108" w:type="dxa"/>
            </w:tcMar>
            <w:vAlign w:val="center"/>
          </w:tcPr>
          <w:p w14:paraId="8F3FE6C5">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35E25E4">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98CDC8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CA0F51C0">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D524C1BE">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D32B2680">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30BC7A3A">
            <w:pPr>
              <w:widowControl/>
              <w:spacing w:line="240" w:lineRule="exact"/>
              <w:jc w:val="center"/>
              <w:rPr>
                <w:rFonts w:ascii="仿宋_GB2312" w:eastAsia="仿宋_GB2312"/>
                <w:szCs w:val="21"/>
              </w:rPr>
            </w:pPr>
            <w:r>
              <w:rPr>
                <w:rFonts w:hint="eastAsia" w:ascii="仿宋_GB2312" w:eastAsia="仿宋_GB2312"/>
                <w:szCs w:val="21"/>
              </w:rPr>
              <w:t>0</w:t>
            </w:r>
          </w:p>
        </w:tc>
      </w:tr>
      <w:tr w14:paraId="E6001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31D8AAFD">
            <w:pPr>
              <w:rPr>
                <w:rFonts w:ascii="黑体" w:hAnsi="黑体" w:eastAsia="黑体"/>
                <w:szCs w:val="21"/>
              </w:rPr>
            </w:pPr>
          </w:p>
        </w:tc>
        <w:tc>
          <w:tcPr>
            <w:tcW w:w="1699" w:type="dxa"/>
            <w:vMerge w:val="continue"/>
            <w:shd w:val="clear" w:color="auto" w:fill="auto"/>
            <w:tcMar>
              <w:left w:w="108" w:type="dxa"/>
              <w:right w:w="108" w:type="dxa"/>
            </w:tcMar>
            <w:vAlign w:val="center"/>
          </w:tcPr>
          <w:p w14:paraId="600F90BC">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476E07ED">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52" w:type="dxa"/>
            <w:shd w:val="clear" w:color="auto" w:fill="auto"/>
            <w:tcMar>
              <w:left w:w="108" w:type="dxa"/>
              <w:right w:w="108" w:type="dxa"/>
            </w:tcMar>
            <w:vAlign w:val="center"/>
          </w:tcPr>
          <w:p w14:paraId="72C1F9A2">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DA6C980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8A85B75B">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39A8FE8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948F7B2">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7526004E">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E10EBFA8">
            <w:pPr>
              <w:widowControl/>
              <w:spacing w:line="240" w:lineRule="exact"/>
              <w:jc w:val="center"/>
              <w:rPr>
                <w:rFonts w:ascii="仿宋_GB2312" w:eastAsia="仿宋_GB2312"/>
                <w:szCs w:val="21"/>
              </w:rPr>
            </w:pPr>
            <w:r>
              <w:rPr>
                <w:rFonts w:hint="eastAsia" w:ascii="仿宋_GB2312" w:eastAsia="仿宋_GB2312"/>
                <w:szCs w:val="21"/>
              </w:rPr>
              <w:t>0</w:t>
            </w:r>
          </w:p>
        </w:tc>
      </w:tr>
      <w:tr w14:paraId="ED097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B29DE87">
            <w:pPr>
              <w:rPr>
                <w:rFonts w:ascii="黑体" w:hAnsi="黑体" w:eastAsia="黑体"/>
                <w:szCs w:val="21"/>
              </w:rPr>
            </w:pPr>
          </w:p>
        </w:tc>
        <w:tc>
          <w:tcPr>
            <w:tcW w:w="1699" w:type="dxa"/>
            <w:vMerge w:val="restart"/>
            <w:shd w:val="clear" w:color="auto" w:fill="auto"/>
            <w:tcMar>
              <w:left w:w="108" w:type="dxa"/>
              <w:right w:w="108" w:type="dxa"/>
            </w:tcMar>
            <w:vAlign w:val="center"/>
          </w:tcPr>
          <w:p w14:paraId="9ED65050">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3" w:type="dxa"/>
            <w:shd w:val="clear" w:color="auto" w:fill="auto"/>
            <w:tcMar>
              <w:left w:w="108" w:type="dxa"/>
              <w:right w:w="108" w:type="dxa"/>
            </w:tcMar>
            <w:vAlign w:val="center"/>
          </w:tcPr>
          <w:p w14:paraId="BE0693DD">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52" w:type="dxa"/>
            <w:shd w:val="clear" w:color="auto" w:fill="auto"/>
            <w:tcMar>
              <w:left w:w="108" w:type="dxa"/>
              <w:right w:w="108" w:type="dxa"/>
            </w:tcMar>
            <w:vAlign w:val="center"/>
          </w:tcPr>
          <w:p w14:paraId="3361644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A7A2DF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E371A59">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B96356BF">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83A03CCF">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1939F3FD">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25E48241">
            <w:pPr>
              <w:widowControl/>
              <w:spacing w:line="240" w:lineRule="exact"/>
              <w:jc w:val="center"/>
              <w:rPr>
                <w:rFonts w:ascii="仿宋_GB2312" w:eastAsia="仿宋_GB2312"/>
                <w:szCs w:val="21"/>
              </w:rPr>
            </w:pPr>
            <w:r>
              <w:rPr>
                <w:rFonts w:hint="eastAsia" w:ascii="仿宋_GB2312" w:eastAsia="仿宋_GB2312"/>
                <w:szCs w:val="21"/>
              </w:rPr>
              <w:t>0</w:t>
            </w:r>
          </w:p>
        </w:tc>
      </w:tr>
      <w:tr w14:paraId="C36D28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611583B5">
            <w:pPr>
              <w:rPr>
                <w:rFonts w:ascii="黑体" w:hAnsi="黑体" w:eastAsia="黑体"/>
                <w:szCs w:val="21"/>
              </w:rPr>
            </w:pPr>
          </w:p>
        </w:tc>
        <w:tc>
          <w:tcPr>
            <w:tcW w:w="1699" w:type="dxa"/>
            <w:vMerge w:val="continue"/>
            <w:shd w:val="clear" w:color="auto" w:fill="auto"/>
            <w:tcMar>
              <w:left w:w="108" w:type="dxa"/>
              <w:right w:w="108" w:type="dxa"/>
            </w:tcMar>
            <w:vAlign w:val="center"/>
          </w:tcPr>
          <w:p w14:paraId="771CD451">
            <w:pPr>
              <w:spacing w:line="200" w:lineRule="exact"/>
              <w:ind w:left="-107" w:leftChars="-51"/>
              <w:rPr>
                <w:rFonts w:ascii="黑体" w:hAnsi="黑体" w:eastAsia="黑体"/>
                <w:szCs w:val="21"/>
              </w:rPr>
            </w:pPr>
          </w:p>
        </w:tc>
        <w:tc>
          <w:tcPr>
            <w:tcW w:w="2973" w:type="dxa"/>
            <w:shd w:val="clear" w:color="auto" w:fill="auto"/>
            <w:tcMar>
              <w:left w:w="108" w:type="dxa"/>
              <w:right w:w="108" w:type="dxa"/>
            </w:tcMar>
            <w:vAlign w:val="center"/>
          </w:tcPr>
          <w:p w14:paraId="1BC9CB8A">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52" w:type="dxa"/>
            <w:shd w:val="clear" w:color="auto" w:fill="auto"/>
            <w:tcMar>
              <w:left w:w="108" w:type="dxa"/>
              <w:right w:w="108" w:type="dxa"/>
            </w:tcMar>
            <w:vAlign w:val="center"/>
          </w:tcPr>
          <w:p w14:paraId="5CF2AD3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53D898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2A86F05">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F1E2F9B">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C20FA1F">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52AFC549">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DDAC45C">
            <w:pPr>
              <w:widowControl/>
              <w:spacing w:line="240" w:lineRule="exact"/>
              <w:jc w:val="center"/>
              <w:rPr>
                <w:rFonts w:ascii="仿宋_GB2312" w:eastAsia="仿宋_GB2312"/>
                <w:szCs w:val="21"/>
              </w:rPr>
            </w:pPr>
            <w:r>
              <w:rPr>
                <w:rFonts w:hint="eastAsia" w:ascii="仿宋_GB2312" w:eastAsia="仿宋_GB2312"/>
                <w:szCs w:val="21"/>
              </w:rPr>
              <w:t>0</w:t>
            </w:r>
          </w:p>
        </w:tc>
      </w:tr>
      <w:tr w14:paraId="89F816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E7DB8C4">
            <w:pPr>
              <w:rPr>
                <w:rFonts w:ascii="黑体" w:hAnsi="黑体" w:eastAsia="黑体"/>
                <w:szCs w:val="21"/>
              </w:rPr>
            </w:pPr>
          </w:p>
        </w:tc>
        <w:tc>
          <w:tcPr>
            <w:tcW w:w="1699" w:type="dxa"/>
            <w:vMerge w:val="continue"/>
            <w:shd w:val="clear" w:color="auto" w:fill="auto"/>
            <w:tcMar>
              <w:left w:w="108" w:type="dxa"/>
              <w:right w:w="108" w:type="dxa"/>
            </w:tcMar>
            <w:vAlign w:val="center"/>
          </w:tcPr>
          <w:p w14:paraId="BD81E0B3">
            <w:pPr>
              <w:spacing w:line="200" w:lineRule="exact"/>
              <w:ind w:left="-107" w:leftChars="-51"/>
              <w:rPr>
                <w:rFonts w:ascii="黑体" w:hAnsi="黑体" w:eastAsia="黑体"/>
                <w:szCs w:val="21"/>
              </w:rPr>
            </w:pPr>
          </w:p>
        </w:tc>
        <w:tc>
          <w:tcPr>
            <w:tcW w:w="2973" w:type="dxa"/>
            <w:shd w:val="clear" w:color="auto" w:fill="auto"/>
            <w:tcMar>
              <w:left w:w="108" w:type="dxa"/>
              <w:right w:w="108" w:type="dxa"/>
            </w:tcMar>
            <w:vAlign w:val="center"/>
          </w:tcPr>
          <w:p w14:paraId="DF7FC429">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52" w:type="dxa"/>
            <w:shd w:val="clear" w:color="auto" w:fill="auto"/>
            <w:tcMar>
              <w:left w:w="108" w:type="dxa"/>
              <w:right w:w="108" w:type="dxa"/>
            </w:tcMar>
            <w:vAlign w:val="center"/>
          </w:tcPr>
          <w:p w14:paraId="F293591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DA52BD0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B7521910">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692762D">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53C0ADBB">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2D635FF8">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BFF548A">
            <w:pPr>
              <w:widowControl/>
              <w:spacing w:line="240" w:lineRule="exact"/>
              <w:jc w:val="center"/>
              <w:rPr>
                <w:rFonts w:ascii="仿宋_GB2312" w:eastAsia="仿宋_GB2312"/>
                <w:szCs w:val="21"/>
              </w:rPr>
            </w:pPr>
            <w:r>
              <w:rPr>
                <w:rFonts w:hint="eastAsia" w:ascii="仿宋_GB2312" w:eastAsia="仿宋_GB2312"/>
                <w:szCs w:val="21"/>
              </w:rPr>
              <w:t>0</w:t>
            </w:r>
          </w:p>
        </w:tc>
      </w:tr>
      <w:tr w14:paraId="8E420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9216FBB3">
            <w:pPr>
              <w:rPr>
                <w:rFonts w:ascii="黑体" w:hAnsi="黑体" w:eastAsia="黑体"/>
                <w:szCs w:val="21"/>
              </w:rPr>
            </w:pPr>
          </w:p>
        </w:tc>
        <w:tc>
          <w:tcPr>
            <w:tcW w:w="1699" w:type="dxa"/>
            <w:vMerge w:val="restart"/>
            <w:shd w:val="clear" w:color="auto" w:fill="auto"/>
            <w:tcMar>
              <w:left w:w="108" w:type="dxa"/>
              <w:right w:w="108" w:type="dxa"/>
            </w:tcMar>
            <w:vAlign w:val="center"/>
          </w:tcPr>
          <w:p w14:paraId="3C98EB8E">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3" w:type="dxa"/>
            <w:shd w:val="clear" w:color="auto" w:fill="auto"/>
            <w:tcMar>
              <w:left w:w="108" w:type="dxa"/>
              <w:right w:w="108" w:type="dxa"/>
            </w:tcMar>
            <w:vAlign w:val="center"/>
          </w:tcPr>
          <w:p w14:paraId="0D4CC906">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52" w:type="dxa"/>
            <w:shd w:val="clear" w:color="auto" w:fill="auto"/>
            <w:tcMar>
              <w:left w:w="108" w:type="dxa"/>
              <w:right w:w="108" w:type="dxa"/>
            </w:tcMar>
            <w:vAlign w:val="center"/>
          </w:tcPr>
          <w:p w14:paraId="5574B61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A1758FF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AB5DFE3E">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B3127BF1">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BF2D4A74">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BC0A0936">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4AF0B1C2">
            <w:pPr>
              <w:widowControl/>
              <w:spacing w:line="240" w:lineRule="exact"/>
              <w:jc w:val="center"/>
              <w:rPr>
                <w:rFonts w:ascii="仿宋_GB2312" w:eastAsia="仿宋_GB2312"/>
                <w:szCs w:val="21"/>
              </w:rPr>
            </w:pPr>
            <w:r>
              <w:rPr>
                <w:rFonts w:hint="eastAsia" w:ascii="仿宋_GB2312" w:eastAsia="仿宋_GB2312"/>
                <w:szCs w:val="21"/>
              </w:rPr>
              <w:t>0</w:t>
            </w:r>
          </w:p>
        </w:tc>
      </w:tr>
      <w:tr w14:paraId="EE590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C73E389">
            <w:pPr>
              <w:rPr>
                <w:rFonts w:ascii="黑体" w:hAnsi="黑体" w:eastAsia="黑体"/>
                <w:szCs w:val="21"/>
              </w:rPr>
            </w:pPr>
          </w:p>
        </w:tc>
        <w:tc>
          <w:tcPr>
            <w:tcW w:w="1699" w:type="dxa"/>
            <w:vMerge w:val="continue"/>
            <w:shd w:val="clear" w:color="auto" w:fill="auto"/>
            <w:tcMar>
              <w:left w:w="108" w:type="dxa"/>
              <w:right w:w="108" w:type="dxa"/>
            </w:tcMar>
            <w:vAlign w:val="center"/>
          </w:tcPr>
          <w:p w14:paraId="746CB55E">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8939F9F6">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52" w:type="dxa"/>
            <w:shd w:val="clear" w:color="auto" w:fill="auto"/>
            <w:tcMar>
              <w:left w:w="108" w:type="dxa"/>
              <w:right w:w="108" w:type="dxa"/>
            </w:tcMar>
            <w:vAlign w:val="center"/>
          </w:tcPr>
          <w:p w14:paraId="6C6D5E2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960156A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95DCD940">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24E7B429">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F9E95930">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9200527B">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41EC6A35">
            <w:pPr>
              <w:widowControl/>
              <w:spacing w:line="240" w:lineRule="exact"/>
              <w:jc w:val="center"/>
              <w:rPr>
                <w:rFonts w:ascii="仿宋_GB2312" w:eastAsia="仿宋_GB2312"/>
                <w:szCs w:val="21"/>
              </w:rPr>
            </w:pPr>
            <w:r>
              <w:rPr>
                <w:rFonts w:hint="eastAsia" w:ascii="仿宋_GB2312" w:eastAsia="仿宋_GB2312"/>
                <w:szCs w:val="21"/>
              </w:rPr>
              <w:t>0</w:t>
            </w:r>
          </w:p>
        </w:tc>
      </w:tr>
      <w:tr w14:paraId="CD28C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F2989D73">
            <w:pPr>
              <w:rPr>
                <w:rFonts w:ascii="黑体" w:hAnsi="黑体" w:eastAsia="黑体"/>
                <w:szCs w:val="21"/>
              </w:rPr>
            </w:pPr>
          </w:p>
        </w:tc>
        <w:tc>
          <w:tcPr>
            <w:tcW w:w="1699" w:type="dxa"/>
            <w:vMerge w:val="continue"/>
            <w:shd w:val="clear" w:color="auto" w:fill="auto"/>
            <w:tcMar>
              <w:left w:w="108" w:type="dxa"/>
              <w:right w:w="108" w:type="dxa"/>
            </w:tcMar>
            <w:vAlign w:val="center"/>
          </w:tcPr>
          <w:p w14:paraId="8DBC3173">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4A06E0B4">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52" w:type="dxa"/>
            <w:shd w:val="clear" w:color="auto" w:fill="auto"/>
            <w:tcMar>
              <w:left w:w="108" w:type="dxa"/>
              <w:right w:w="108" w:type="dxa"/>
            </w:tcMar>
            <w:vAlign w:val="center"/>
          </w:tcPr>
          <w:p w14:paraId="E6B373B4">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9DBB5D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07094E6">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D85AAB13">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6F761F6C">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D0D4A30F">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52C63790">
            <w:pPr>
              <w:widowControl/>
              <w:spacing w:line="240" w:lineRule="exact"/>
              <w:jc w:val="center"/>
              <w:rPr>
                <w:rFonts w:ascii="仿宋_GB2312" w:eastAsia="仿宋_GB2312"/>
                <w:szCs w:val="21"/>
              </w:rPr>
            </w:pPr>
            <w:r>
              <w:rPr>
                <w:rFonts w:hint="eastAsia" w:ascii="仿宋_GB2312" w:eastAsia="仿宋_GB2312"/>
                <w:szCs w:val="21"/>
              </w:rPr>
              <w:t>0</w:t>
            </w:r>
          </w:p>
        </w:tc>
      </w:tr>
      <w:tr w14:paraId="1DF54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EF21B19D">
            <w:pPr>
              <w:rPr>
                <w:rFonts w:ascii="黑体" w:hAnsi="黑体" w:eastAsia="黑体"/>
                <w:szCs w:val="21"/>
              </w:rPr>
            </w:pPr>
          </w:p>
        </w:tc>
        <w:tc>
          <w:tcPr>
            <w:tcW w:w="1699" w:type="dxa"/>
            <w:vMerge w:val="continue"/>
            <w:shd w:val="clear" w:color="auto" w:fill="auto"/>
            <w:tcMar>
              <w:left w:w="108" w:type="dxa"/>
              <w:right w:w="108" w:type="dxa"/>
            </w:tcMar>
            <w:vAlign w:val="center"/>
          </w:tcPr>
          <w:p w14:paraId="A356E92D">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85A3C406">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52" w:type="dxa"/>
            <w:shd w:val="clear" w:color="auto" w:fill="auto"/>
            <w:tcMar>
              <w:left w:w="108" w:type="dxa"/>
              <w:right w:w="108" w:type="dxa"/>
            </w:tcMar>
            <w:vAlign w:val="center"/>
          </w:tcPr>
          <w:p w14:paraId="0DE915BF">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DECA3D1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ABB953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2BCA9E20">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CCDAD775">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741AF2E2">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D2272210">
            <w:pPr>
              <w:widowControl/>
              <w:spacing w:line="240" w:lineRule="exact"/>
              <w:jc w:val="center"/>
              <w:rPr>
                <w:rFonts w:ascii="仿宋_GB2312" w:eastAsia="仿宋_GB2312"/>
                <w:szCs w:val="21"/>
              </w:rPr>
            </w:pPr>
            <w:r>
              <w:rPr>
                <w:rFonts w:hint="eastAsia" w:ascii="仿宋_GB2312" w:eastAsia="仿宋_GB2312"/>
                <w:szCs w:val="21"/>
              </w:rPr>
              <w:t>0</w:t>
            </w:r>
          </w:p>
        </w:tc>
      </w:tr>
      <w:tr w14:paraId="C7433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F1AC6DDE">
            <w:pPr>
              <w:rPr>
                <w:rFonts w:ascii="黑体" w:hAnsi="黑体" w:eastAsia="黑体"/>
                <w:szCs w:val="21"/>
              </w:rPr>
            </w:pPr>
          </w:p>
        </w:tc>
        <w:tc>
          <w:tcPr>
            <w:tcW w:w="1699" w:type="dxa"/>
            <w:vMerge w:val="continue"/>
            <w:shd w:val="clear" w:color="auto" w:fill="auto"/>
            <w:tcMar>
              <w:left w:w="108" w:type="dxa"/>
              <w:right w:w="108" w:type="dxa"/>
            </w:tcMar>
            <w:vAlign w:val="center"/>
          </w:tcPr>
          <w:p w14:paraId="63126E27">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B76302E0">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31699E57">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52" w:type="dxa"/>
            <w:shd w:val="clear" w:color="auto" w:fill="auto"/>
            <w:tcMar>
              <w:left w:w="108" w:type="dxa"/>
              <w:right w:w="108" w:type="dxa"/>
            </w:tcMar>
            <w:vAlign w:val="center"/>
          </w:tcPr>
          <w:p w14:paraId="5F91EC4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0C490A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580CBD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146B1C4F">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8B28FA68">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7C62F470">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9A4ECF7">
            <w:pPr>
              <w:widowControl/>
              <w:spacing w:line="240" w:lineRule="exact"/>
              <w:jc w:val="center"/>
              <w:rPr>
                <w:rFonts w:ascii="仿宋_GB2312" w:eastAsia="仿宋_GB2312"/>
                <w:szCs w:val="21"/>
              </w:rPr>
            </w:pPr>
            <w:r>
              <w:rPr>
                <w:rFonts w:hint="eastAsia" w:ascii="仿宋_GB2312" w:eastAsia="仿宋_GB2312"/>
                <w:szCs w:val="21"/>
              </w:rPr>
              <w:t>0</w:t>
            </w:r>
          </w:p>
        </w:tc>
      </w:tr>
      <w:tr w14:paraId="FE28E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89F595D9">
            <w:pPr>
              <w:rPr>
                <w:rFonts w:ascii="黑体" w:hAnsi="黑体" w:eastAsia="黑体"/>
                <w:szCs w:val="21"/>
              </w:rPr>
            </w:pPr>
          </w:p>
        </w:tc>
        <w:tc>
          <w:tcPr>
            <w:tcW w:w="1699" w:type="dxa"/>
            <w:vMerge w:val="restart"/>
            <w:shd w:val="clear" w:color="auto" w:fill="auto"/>
            <w:tcMar>
              <w:left w:w="108" w:type="dxa"/>
              <w:right w:w="108" w:type="dxa"/>
            </w:tcMar>
            <w:vAlign w:val="center"/>
          </w:tcPr>
          <w:p w14:paraId="C7E30C3B">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3" w:type="dxa"/>
            <w:shd w:val="clear" w:color="auto" w:fill="auto"/>
            <w:vAlign w:val="center"/>
          </w:tcPr>
          <w:p w14:paraId="D53DFD1C">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52" w:type="dxa"/>
            <w:shd w:val="clear" w:color="auto" w:fill="auto"/>
            <w:tcMar>
              <w:left w:w="108" w:type="dxa"/>
              <w:right w:w="108" w:type="dxa"/>
            </w:tcMar>
            <w:vAlign w:val="center"/>
          </w:tcPr>
          <w:p w14:paraId="CF0EA7BC">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E584851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BD17212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8B8E5849">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AD011BC2">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B7334B1">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99F6517F">
            <w:pPr>
              <w:widowControl/>
              <w:spacing w:line="240" w:lineRule="exact"/>
              <w:jc w:val="center"/>
              <w:rPr>
                <w:rFonts w:ascii="仿宋_GB2312" w:eastAsia="仿宋_GB2312"/>
                <w:szCs w:val="21"/>
              </w:rPr>
            </w:pPr>
            <w:r>
              <w:rPr>
                <w:rFonts w:hint="eastAsia" w:ascii="仿宋_GB2312" w:eastAsia="仿宋_GB2312"/>
                <w:szCs w:val="21"/>
              </w:rPr>
              <w:t>0</w:t>
            </w:r>
          </w:p>
        </w:tc>
      </w:tr>
      <w:tr w14:paraId="BA0906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15" w:type="dxa"/>
            <w:vMerge w:val="continue"/>
            <w:shd w:val="clear" w:color="auto" w:fill="auto"/>
            <w:tcMar>
              <w:left w:w="108" w:type="dxa"/>
              <w:right w:w="108" w:type="dxa"/>
            </w:tcMar>
            <w:vAlign w:val="center"/>
          </w:tcPr>
          <w:p w14:paraId="068A7DEA">
            <w:pPr>
              <w:rPr>
                <w:rFonts w:ascii="黑体" w:hAnsi="黑体" w:eastAsia="黑体"/>
                <w:szCs w:val="21"/>
              </w:rPr>
            </w:pPr>
          </w:p>
        </w:tc>
        <w:tc>
          <w:tcPr>
            <w:tcW w:w="1699" w:type="dxa"/>
            <w:vMerge w:val="continue"/>
            <w:shd w:val="clear" w:color="auto" w:fill="auto"/>
            <w:tcMar>
              <w:left w:w="108" w:type="dxa"/>
              <w:right w:w="108" w:type="dxa"/>
            </w:tcMar>
            <w:vAlign w:val="center"/>
          </w:tcPr>
          <w:p w14:paraId="B29F4FED">
            <w:pPr>
              <w:widowControl/>
              <w:spacing w:line="300" w:lineRule="exact"/>
              <w:rPr>
                <w:rFonts w:ascii="黑体" w:hAnsi="黑体" w:eastAsia="黑体"/>
                <w:kern w:val="0"/>
                <w:szCs w:val="21"/>
              </w:rPr>
            </w:pPr>
          </w:p>
        </w:tc>
        <w:tc>
          <w:tcPr>
            <w:tcW w:w="2973" w:type="dxa"/>
            <w:shd w:val="clear" w:color="auto" w:fill="auto"/>
            <w:vAlign w:val="center"/>
          </w:tcPr>
          <w:p w14:paraId="0A32AFE5">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2DD9EDD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AB1837E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81EA56D">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BFBA7375">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A963EA8">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2337EB3">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B82546ED">
            <w:pPr>
              <w:widowControl/>
              <w:spacing w:line="240" w:lineRule="exact"/>
              <w:jc w:val="center"/>
              <w:rPr>
                <w:rFonts w:ascii="仿宋_GB2312" w:eastAsia="仿宋_GB2312"/>
                <w:szCs w:val="21"/>
              </w:rPr>
            </w:pPr>
            <w:r>
              <w:rPr>
                <w:rFonts w:hint="eastAsia" w:ascii="仿宋_GB2312" w:eastAsia="仿宋_GB2312"/>
                <w:szCs w:val="21"/>
              </w:rPr>
              <w:t>0</w:t>
            </w:r>
          </w:p>
        </w:tc>
      </w:tr>
      <w:tr w14:paraId="E6184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4297D8D7">
            <w:pPr>
              <w:rPr>
                <w:rFonts w:ascii="黑体" w:hAnsi="黑体" w:eastAsia="黑体"/>
                <w:szCs w:val="21"/>
              </w:rPr>
            </w:pPr>
          </w:p>
        </w:tc>
        <w:tc>
          <w:tcPr>
            <w:tcW w:w="1699" w:type="dxa"/>
            <w:vMerge w:val="continue"/>
            <w:shd w:val="clear" w:color="auto" w:fill="auto"/>
            <w:tcMar>
              <w:left w:w="108" w:type="dxa"/>
              <w:right w:w="108" w:type="dxa"/>
            </w:tcMar>
            <w:vAlign w:val="center"/>
          </w:tcPr>
          <w:p w14:paraId="196EE71E">
            <w:pPr>
              <w:widowControl/>
              <w:spacing w:line="300" w:lineRule="exact"/>
              <w:rPr>
                <w:rFonts w:ascii="黑体" w:hAnsi="黑体" w:eastAsia="黑体"/>
                <w:kern w:val="0"/>
                <w:szCs w:val="21"/>
              </w:rPr>
            </w:pPr>
          </w:p>
        </w:tc>
        <w:tc>
          <w:tcPr>
            <w:tcW w:w="2973" w:type="dxa"/>
            <w:shd w:val="clear" w:color="auto" w:fill="auto"/>
            <w:vAlign w:val="center"/>
          </w:tcPr>
          <w:p w14:paraId="9543EA77">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52" w:type="dxa"/>
            <w:shd w:val="clear" w:color="auto" w:fill="auto"/>
            <w:tcMar>
              <w:left w:w="108" w:type="dxa"/>
              <w:right w:w="108" w:type="dxa"/>
            </w:tcMar>
            <w:vAlign w:val="center"/>
          </w:tcPr>
          <w:p w14:paraId="925E3CE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93F2C7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C7B2D980">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C3BF8EB2">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CE649067">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5078029F">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746F6701">
            <w:pPr>
              <w:widowControl/>
              <w:spacing w:line="240" w:lineRule="exact"/>
              <w:jc w:val="center"/>
              <w:rPr>
                <w:rFonts w:ascii="仿宋_GB2312" w:eastAsia="仿宋_GB2312"/>
                <w:szCs w:val="21"/>
              </w:rPr>
            </w:pPr>
            <w:r>
              <w:rPr>
                <w:rFonts w:hint="eastAsia" w:ascii="仿宋_GB2312" w:eastAsia="仿宋_GB2312"/>
                <w:szCs w:val="21"/>
              </w:rPr>
              <w:t>0</w:t>
            </w:r>
          </w:p>
        </w:tc>
      </w:tr>
      <w:tr w14:paraId="6DCAB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15" w:type="dxa"/>
            <w:vMerge w:val="continue"/>
            <w:shd w:val="clear" w:color="auto" w:fill="auto"/>
            <w:tcMar>
              <w:left w:w="108" w:type="dxa"/>
              <w:right w:w="108" w:type="dxa"/>
            </w:tcMar>
            <w:vAlign w:val="center"/>
          </w:tcPr>
          <w:p w14:paraId="16CAD6A1">
            <w:pPr>
              <w:rPr>
                <w:rFonts w:ascii="黑体" w:hAnsi="黑体" w:eastAsia="黑体"/>
                <w:szCs w:val="21"/>
              </w:rPr>
            </w:pPr>
          </w:p>
        </w:tc>
        <w:tc>
          <w:tcPr>
            <w:tcW w:w="4672" w:type="dxa"/>
            <w:gridSpan w:val="2"/>
            <w:shd w:val="clear" w:color="auto" w:fill="auto"/>
            <w:tcMar>
              <w:left w:w="108" w:type="dxa"/>
              <w:right w:w="108" w:type="dxa"/>
            </w:tcMar>
            <w:vAlign w:val="center"/>
          </w:tcPr>
          <w:p w14:paraId="6B744434">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52" w:type="dxa"/>
            <w:shd w:val="clear" w:color="auto" w:fill="auto"/>
            <w:tcMar>
              <w:left w:w="108" w:type="dxa"/>
              <w:right w:w="108" w:type="dxa"/>
            </w:tcMar>
            <w:vAlign w:val="center"/>
          </w:tcPr>
          <w:p w14:paraId="1768EE6C">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7404E7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E4C4E1D9">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FCD3BC4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650F5A2E">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30A8809E">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C0FFD62">
            <w:pPr>
              <w:widowControl/>
              <w:spacing w:line="240" w:lineRule="exact"/>
              <w:jc w:val="center"/>
              <w:rPr>
                <w:rFonts w:ascii="仿宋_GB2312" w:eastAsia="仿宋_GB2312"/>
                <w:szCs w:val="21"/>
              </w:rPr>
            </w:pPr>
            <w:r>
              <w:rPr>
                <w:rFonts w:hint="eastAsia" w:ascii="仿宋_GB2312" w:eastAsia="仿宋_GB2312"/>
                <w:szCs w:val="21"/>
              </w:rPr>
              <w:t>0</w:t>
            </w:r>
          </w:p>
        </w:tc>
      </w:tr>
      <w:tr w14:paraId="5B274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87" w:type="dxa"/>
            <w:gridSpan w:val="3"/>
            <w:shd w:val="clear" w:color="auto" w:fill="auto"/>
            <w:tcMar>
              <w:left w:w="108" w:type="dxa"/>
              <w:right w:w="108" w:type="dxa"/>
            </w:tcMar>
            <w:vAlign w:val="center"/>
          </w:tcPr>
          <w:p w14:paraId="BF76F8F4">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52" w:type="dxa"/>
            <w:shd w:val="clear" w:color="auto" w:fill="auto"/>
            <w:tcMar>
              <w:left w:w="108" w:type="dxa"/>
              <w:right w:w="108" w:type="dxa"/>
            </w:tcMar>
            <w:vAlign w:val="center"/>
          </w:tcPr>
          <w:p w14:paraId="5223FFF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463C0F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93670434">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30EDF045">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ADA385D">
            <w:pPr>
              <w:widowControl/>
              <w:spacing w:line="240" w:lineRule="exact"/>
              <w:jc w:val="center"/>
              <w:rPr>
                <w:rFonts w:ascii="仿宋_GB2312" w:eastAsia="仿宋_GB2312"/>
                <w:szCs w:val="21"/>
              </w:rPr>
            </w:pPr>
            <w:r>
              <w:rPr>
                <w:rFonts w:hint="eastAsia" w:ascii="仿宋_GB2312" w:eastAsia="仿宋_GB2312"/>
                <w:szCs w:val="21"/>
              </w:rPr>
              <w:t>0</w:t>
            </w:r>
          </w:p>
        </w:tc>
        <w:tc>
          <w:tcPr>
            <w:tcW w:w="526" w:type="dxa"/>
            <w:shd w:val="clear" w:color="auto" w:fill="auto"/>
            <w:tcMar>
              <w:left w:w="108" w:type="dxa"/>
              <w:right w:w="108" w:type="dxa"/>
            </w:tcMar>
            <w:vAlign w:val="center"/>
          </w:tcPr>
          <w:p w14:paraId="4964F2E3">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A0B6328F">
            <w:pPr>
              <w:widowControl/>
              <w:spacing w:line="240" w:lineRule="exact"/>
              <w:jc w:val="center"/>
              <w:rPr>
                <w:rFonts w:ascii="仿宋_GB2312" w:eastAsia="仿宋_GB2312"/>
                <w:szCs w:val="21"/>
              </w:rPr>
            </w:pPr>
            <w:r>
              <w:rPr>
                <w:rFonts w:hint="eastAsia" w:ascii="仿宋_GB2312" w:eastAsia="仿宋_GB2312"/>
                <w:szCs w:val="21"/>
              </w:rPr>
              <w:t>0</w:t>
            </w:r>
          </w:p>
        </w:tc>
      </w:tr>
    </w:tbl>
    <w:p w14:paraId="CA5D848F">
      <w:pPr>
        <w:spacing w:line="560" w:lineRule="exact"/>
        <w:ind w:firstLine="640" w:firstLineChars="200"/>
        <w:rPr>
          <w:rFonts w:ascii="仿宋_GB2312" w:eastAsia="仿宋_GB2312"/>
          <w:sz w:val="32"/>
          <w:szCs w:val="32"/>
        </w:rPr>
      </w:pPr>
      <w:r>
        <w:rPr>
          <w:rFonts w:hint="eastAsia" w:ascii="黑体" w:hAnsi="黑体" w:eastAsia="黑体" w:cs="宋体"/>
          <w:color w:val="000000"/>
          <w:kern w:val="0"/>
          <w:sz w:val="32"/>
          <w:szCs w:val="32"/>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A6AB8B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3CB94B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E02EC1">
            <w:pPr>
              <w:widowControl/>
              <w:jc w:val="center"/>
              <w:rPr>
                <w:rFonts w:ascii="黑体" w:hAnsi="黑体" w:eastAsia="黑体"/>
              </w:rPr>
            </w:pPr>
            <w:r>
              <w:rPr>
                <w:rFonts w:ascii="黑体" w:hAnsi="黑体" w:eastAsia="黑体"/>
                <w:kern w:val="0"/>
                <w:sz w:val="20"/>
              </w:rPr>
              <w:t>行政诉讼</w:t>
            </w:r>
          </w:p>
        </w:tc>
      </w:tr>
      <w:tr w14:paraId="E5DBCA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D01E5511">
            <w:pPr>
              <w:widowControl/>
              <w:ind w:left="-149" w:leftChars="-71" w:right="-170" w:rightChars="-81"/>
              <w:jc w:val="center"/>
              <w:rPr>
                <w:rFonts w:ascii="黑体" w:hAnsi="黑体" w:eastAsia="黑体"/>
                <w:kern w:val="0"/>
                <w:sz w:val="20"/>
              </w:rPr>
            </w:pPr>
            <w:r>
              <w:rPr>
                <w:rFonts w:ascii="黑体" w:hAnsi="黑体" w:eastAsia="黑体"/>
                <w:kern w:val="0"/>
                <w:sz w:val="20"/>
              </w:rPr>
              <w:t>结果</w:t>
            </w:r>
          </w:p>
          <w:p w14:paraId="99A37792">
            <w:pPr>
              <w:widowControl/>
              <w:ind w:left="-149" w:leftChars="-71" w:right="-170"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83DD85EC">
            <w:pPr>
              <w:widowControl/>
              <w:ind w:left="-43" w:leftChars="-21" w:right="-132"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9C4DD7">
            <w:pPr>
              <w:widowControl/>
              <w:ind w:left="-82" w:leftChars="-39" w:right="-97"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F81EC9">
            <w:pPr>
              <w:widowControl/>
              <w:ind w:left="-118" w:leftChars="-56" w:right="-118" w:rightChars="-56"/>
              <w:jc w:val="center"/>
              <w:rPr>
                <w:rFonts w:ascii="黑体" w:hAnsi="黑体" w:eastAsia="黑体"/>
                <w:kern w:val="0"/>
                <w:sz w:val="20"/>
              </w:rPr>
            </w:pPr>
            <w:r>
              <w:rPr>
                <w:rFonts w:ascii="黑体" w:hAnsi="黑体" w:eastAsia="黑体"/>
                <w:kern w:val="0"/>
                <w:sz w:val="20"/>
              </w:rPr>
              <w:t>尚未</w:t>
            </w:r>
          </w:p>
          <w:p w14:paraId="2E9C2CF1">
            <w:pPr>
              <w:widowControl/>
              <w:ind w:left="-118" w:leftChars="-56" w:right="-118"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FC563B51">
            <w:pPr>
              <w:widowControl/>
              <w:spacing w:line="320" w:lineRule="exact"/>
              <w:jc w:val="center"/>
              <w:rPr>
                <w:rFonts w:ascii="黑体" w:hAnsi="黑体" w:eastAsia="黑体"/>
                <w:kern w:val="0"/>
                <w:sz w:val="20"/>
              </w:rPr>
            </w:pPr>
            <w:r>
              <w:rPr>
                <w:rFonts w:ascii="黑体" w:hAnsi="黑体" w:eastAsia="黑体"/>
                <w:kern w:val="0"/>
                <w:sz w:val="20"/>
              </w:rPr>
              <w:t>总</w:t>
            </w:r>
          </w:p>
          <w:p w14:paraId="EFBADF90">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95E6072">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8B4E848">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AFF19C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BAA073">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A7C2672">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1494D9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DD4244F3">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87F97B53">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AAD49DE2">
            <w:pPr>
              <w:widowControl/>
              <w:ind w:left="-105" w:leftChars="-50" w:right="-126"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2A60670">
            <w:pPr>
              <w:widowControl/>
              <w:ind w:left="-86" w:leftChars="-41" w:right="-88"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B7C1B323">
            <w:pPr>
              <w:widowControl/>
              <w:ind w:left="-126" w:leftChars="-60" w:right="-136" w:rightChars="-65"/>
              <w:jc w:val="center"/>
              <w:rPr>
                <w:rFonts w:ascii="黑体" w:hAnsi="黑体" w:eastAsia="黑体"/>
                <w:kern w:val="0"/>
                <w:sz w:val="20"/>
              </w:rPr>
            </w:pPr>
            <w:r>
              <w:rPr>
                <w:rFonts w:ascii="黑体" w:hAnsi="黑体" w:eastAsia="黑体"/>
                <w:kern w:val="0"/>
                <w:sz w:val="20"/>
              </w:rPr>
              <w:t>其他</w:t>
            </w:r>
          </w:p>
          <w:p w14:paraId="58A70025">
            <w:pPr>
              <w:widowControl/>
              <w:ind w:left="-126" w:leftChars="-60" w:right="-136"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B7AFD6">
            <w:pPr>
              <w:widowControl/>
              <w:ind w:left="-164" w:leftChars="-78" w:right="-153" w:rightChars="-73"/>
              <w:jc w:val="center"/>
              <w:rPr>
                <w:rFonts w:ascii="黑体" w:hAnsi="黑体" w:eastAsia="黑体"/>
                <w:kern w:val="0"/>
                <w:sz w:val="20"/>
              </w:rPr>
            </w:pPr>
            <w:r>
              <w:rPr>
                <w:rFonts w:ascii="黑体" w:hAnsi="黑体" w:eastAsia="黑体"/>
                <w:kern w:val="0"/>
                <w:sz w:val="20"/>
              </w:rPr>
              <w:t>尚未</w:t>
            </w:r>
          </w:p>
          <w:p w14:paraId="9F96F58F">
            <w:pPr>
              <w:widowControl/>
              <w:ind w:left="-164" w:leftChars="-78" w:right="-153"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AA42B750">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47DBA6">
            <w:pPr>
              <w:widowControl/>
              <w:ind w:left="-99" w:leftChars="-47" w:right="-78"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97BF0FBC">
            <w:pPr>
              <w:widowControl/>
              <w:ind w:left="-136" w:leftChars="-65" w:right="-124" w:rightChars="-59"/>
              <w:jc w:val="center"/>
              <w:rPr>
                <w:rFonts w:ascii="黑体" w:hAnsi="黑体" w:eastAsia="黑体"/>
                <w:kern w:val="0"/>
                <w:sz w:val="20"/>
              </w:rPr>
            </w:pPr>
            <w:r>
              <w:rPr>
                <w:rFonts w:ascii="黑体" w:hAnsi="黑体" w:eastAsia="黑体"/>
                <w:kern w:val="0"/>
                <w:sz w:val="20"/>
              </w:rPr>
              <w:t>结果</w:t>
            </w:r>
          </w:p>
          <w:p w14:paraId="0029D83D">
            <w:pPr>
              <w:widowControl/>
              <w:ind w:left="-136" w:leftChars="-65" w:right="-124"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41CE1D7">
            <w:pPr>
              <w:widowControl/>
              <w:ind w:left="-173" w:leftChars="-83" w:right="-134" w:rightChars="-64" w:hanging="1"/>
              <w:jc w:val="center"/>
              <w:rPr>
                <w:rFonts w:ascii="黑体" w:hAnsi="黑体" w:eastAsia="黑体"/>
                <w:kern w:val="0"/>
                <w:sz w:val="20"/>
              </w:rPr>
            </w:pPr>
            <w:r>
              <w:rPr>
                <w:rFonts w:ascii="黑体" w:hAnsi="黑体" w:eastAsia="黑体"/>
                <w:kern w:val="0"/>
                <w:sz w:val="20"/>
              </w:rPr>
              <w:t>其他</w:t>
            </w:r>
          </w:p>
          <w:p w14:paraId="2E7F47C3">
            <w:pPr>
              <w:widowControl/>
              <w:ind w:left="-173" w:leftChars="-83" w:right="-134"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D9B226CC">
            <w:pPr>
              <w:widowControl/>
              <w:ind w:left="-67" w:leftChars="-33" w:right="-105"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FBDA2B0C">
            <w:pPr>
              <w:widowControl/>
              <w:jc w:val="center"/>
              <w:rPr>
                <w:rFonts w:ascii="黑体" w:hAnsi="黑体" w:eastAsia="黑体"/>
              </w:rPr>
            </w:pPr>
            <w:r>
              <w:rPr>
                <w:rFonts w:ascii="黑体" w:hAnsi="黑体" w:eastAsia="黑体"/>
                <w:kern w:val="0"/>
                <w:sz w:val="20"/>
              </w:rPr>
              <w:t>总计</w:t>
            </w:r>
          </w:p>
        </w:tc>
      </w:tr>
      <w:tr w14:paraId="83E3AD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5DD49F8">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CDEDC40">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9A137A5B">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D93A56E">
            <w:pPr>
              <w:widowControl/>
              <w:spacing w:after="180"/>
              <w:jc w:val="center"/>
            </w:pPr>
            <w:r>
              <w:rPr>
                <w:rFonts w:hint="eastAsia"/>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BFFEE5C1">
            <w:pPr>
              <w:widowControl/>
              <w:spacing w:after="180"/>
              <w:jc w:val="center"/>
            </w:pPr>
            <w:r>
              <w:rPr>
                <w:rFonts w:hint="eastAsia"/>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CFA6E8A">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9E26BCF8">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27E0233">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CC67AED">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E85F5ACF">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7BBF23">
            <w:pPr>
              <w:widowControl/>
              <w:spacing w:after="180"/>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4694AB8">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D9B1576">
            <w:pPr>
              <w:widowControl/>
              <w:spacing w:after="180"/>
              <w:jc w:val="center"/>
            </w:pPr>
            <w:r>
              <w:rPr>
                <w:rFonts w:hint="eastAsia"/>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F81D62BA">
            <w:pPr>
              <w:widowControl/>
              <w:spacing w:after="180"/>
              <w:jc w:val="center"/>
            </w:pPr>
            <w:r>
              <w:rPr>
                <w:rFonts w:hint="eastAsia"/>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143088B">
            <w:pPr>
              <w:widowControl/>
              <w:spacing w:after="180"/>
              <w:jc w:val="center"/>
            </w:pPr>
            <w:r>
              <w:rPr>
                <w:rFonts w:hint="eastAsia"/>
              </w:rPr>
              <w:t>0</w:t>
            </w:r>
          </w:p>
        </w:tc>
      </w:tr>
    </w:tbl>
    <w:p w14:paraId="9856ECA1">
      <w:pPr>
        <w:widowControl/>
        <w:jc w:val="left"/>
        <w:rPr>
          <w:rFonts w:ascii="仿宋_GB2312" w:hAnsi="Calibri" w:eastAsia="仿宋_GB2312" w:cs="Calibri"/>
          <w:color w:val="FF0000"/>
          <w:kern w:val="0"/>
          <w:szCs w:val="21"/>
        </w:rPr>
      </w:pPr>
    </w:p>
    <w:p w14:paraId="4A41BC34">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五、存在的主要问题及改进情况</w:t>
      </w:r>
    </w:p>
    <w:p w14:paraId="7A0766F6">
      <w:pPr>
        <w:pStyle w:val="5"/>
        <w:spacing w:before="0" w:beforeAutospacing="0" w:after="0" w:afterAutospacing="0" w:line="560" w:lineRule="exact"/>
        <w:ind w:firstLine="640" w:firstLineChars="200"/>
        <w:jc w:val="both"/>
        <w:rPr>
          <w:rFonts w:hint="default" w:ascii="仿宋_GB2312" w:hAnsi="仿宋" w:eastAsia="仿宋_GB2312" w:cs="仿宋"/>
          <w:color w:val="000000"/>
          <w:sz w:val="32"/>
          <w:szCs w:val="32"/>
          <w:lang w:val="en-US"/>
        </w:rPr>
      </w:pPr>
      <w:r>
        <w:rPr>
          <w:rFonts w:hint="default" w:ascii="仿宋_GB2312" w:hAnsi="仿宋" w:eastAsia="仿宋_GB2312" w:cs="仿宋"/>
          <w:color w:val="000000"/>
          <w:sz w:val="32"/>
          <w:szCs w:val="32"/>
          <w:lang w:val="en-US"/>
        </w:rPr>
        <w:t xml:space="preserve">2025年，我局政务公开工作做了大量的工作，取得了一定的成绩，但仍还有不少问题，主要表现在：一是思想认识与队伍建设存在短板。专题业务培训覆盖不全，工作力量配备不足，人员多为兼职，专业能力与岗位要求存在差距。二是公开质效与规范程度有待提升。主动公开目录体系不够精细，公开载体形式单一，信息内容深度和广度不足，部分制度性公开文件的发布格式缺乏统一标准。 </w:t>
      </w:r>
    </w:p>
    <w:p w14:paraId="28F40773">
      <w:pPr>
        <w:pStyle w:val="5"/>
        <w:spacing w:before="0" w:beforeAutospacing="0" w:after="0" w:afterAutospacing="0" w:line="560" w:lineRule="exact"/>
        <w:ind w:firstLine="640" w:firstLineChars="200"/>
        <w:jc w:val="both"/>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下一步，区文旅局将从三方面推进政务公开工作。一是建强队伍，明确专职人员职责，推行“以老带新”帮扶机制，将此项工作纳入科室年度考核，压实公开责任。二是细化公开目录，对照上级要求结合业务实际，按“事项分类、内容细化、时限明确”原则修订目录，明确各条目公开主体、内容及时限。三是提升公开质效，统筹多渠道公开，拓展可视化形式并保留纸质渠道；制定发布格式规范，建立前置审核机制。</w:t>
      </w:r>
    </w:p>
    <w:p w14:paraId="B01E277F">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六、其他需要报告的事项</w:t>
      </w:r>
    </w:p>
    <w:p w14:paraId="E4D4E4ED">
      <w:pPr>
        <w:widowControl/>
        <w:spacing w:line="560" w:lineRule="exact"/>
        <w:ind w:firstLine="640" w:firstLineChars="200"/>
        <w:jc w:val="left"/>
        <w:rPr>
          <w:rFonts w:hint="eastAsia" w:ascii="楷体_GB2312" w:hAnsi="仿宋" w:eastAsia="楷体_GB2312" w:cs="仿宋"/>
          <w:color w:val="000000"/>
          <w:kern w:val="0"/>
          <w:sz w:val="32"/>
          <w:szCs w:val="32"/>
        </w:rPr>
      </w:pPr>
      <w:r>
        <w:rPr>
          <w:rFonts w:hint="eastAsia" w:ascii="楷体_GB2312" w:hAnsi="仿宋" w:eastAsia="楷体_GB2312" w:cs="仿宋"/>
          <w:color w:val="000000"/>
          <w:kern w:val="0"/>
          <w:sz w:val="32"/>
          <w:szCs w:val="32"/>
        </w:rPr>
        <w:t>（一）收取信息处理费情况方面。</w:t>
      </w:r>
    </w:p>
    <w:p w14:paraId="56086742">
      <w:pPr>
        <w:widowControl/>
        <w:spacing w:line="560" w:lineRule="exact"/>
        <w:ind w:firstLine="640" w:firstLineChars="200"/>
        <w:jc w:val="left"/>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202</w:t>
      </w:r>
      <w:r>
        <w:rPr>
          <w:rFonts w:hint="default" w:ascii="仿宋_GB2312" w:hAnsi="仿宋" w:eastAsia="仿宋_GB2312" w:cs="仿宋"/>
          <w:color w:val="000000"/>
          <w:kern w:val="0"/>
          <w:sz w:val="32"/>
          <w:szCs w:val="32"/>
          <w:lang w:val="en-US"/>
        </w:rPr>
        <w:t>5</w:t>
      </w:r>
      <w:r>
        <w:rPr>
          <w:rFonts w:hint="eastAsia" w:ascii="仿宋_GB2312" w:hAnsi="仿宋" w:eastAsia="仿宋_GB2312" w:cs="仿宋"/>
          <w:color w:val="000000"/>
          <w:kern w:val="0"/>
          <w:sz w:val="32"/>
          <w:szCs w:val="32"/>
        </w:rPr>
        <w:t>年,区文化和文旅局不存在因信息处理收取相关费用的情况。</w:t>
      </w:r>
    </w:p>
    <w:p w14:paraId="FD77EB78">
      <w:pPr>
        <w:widowControl/>
        <w:spacing w:line="560" w:lineRule="exact"/>
        <w:ind w:firstLine="640" w:firstLineChars="200"/>
        <w:jc w:val="left"/>
        <w:rPr>
          <w:rFonts w:hint="eastAsia" w:ascii="楷体_GB2312" w:hAnsi="仿宋" w:eastAsia="楷体_GB2312" w:cs="仿宋"/>
          <w:color w:val="000000"/>
          <w:kern w:val="0"/>
          <w:sz w:val="32"/>
          <w:szCs w:val="32"/>
        </w:rPr>
      </w:pPr>
      <w:r>
        <w:rPr>
          <w:rFonts w:hint="eastAsia" w:ascii="楷体_GB2312" w:hAnsi="仿宋" w:eastAsia="楷体_GB2312" w:cs="仿宋"/>
          <w:color w:val="000000"/>
          <w:kern w:val="0"/>
          <w:sz w:val="32"/>
          <w:szCs w:val="32"/>
        </w:rPr>
        <w:t>（二）落实上级年度政务公开工作要点情况。</w:t>
      </w:r>
    </w:p>
    <w:p w14:paraId="148FD323">
      <w:pPr>
        <w:widowControl/>
        <w:spacing w:line="560" w:lineRule="exact"/>
        <w:ind w:firstLine="640" w:firstLineChars="200"/>
        <w:jc w:val="left"/>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区文旅局严格按照《中华人民共和国政府信息公开条例》（国务院令第711号）等相关文件要求,结合文化和旅游工作实际,明确各科室职责分工,扎实推进政务公开，高质高效、依法依规完成政务公开工作要点。</w:t>
      </w:r>
    </w:p>
    <w:p w14:paraId="418CB810">
      <w:pPr>
        <w:pStyle w:val="5"/>
        <w:spacing w:before="0" w:beforeAutospacing="0" w:after="0" w:afterAutospacing="0" w:line="560" w:lineRule="exact"/>
        <w:ind w:firstLine="640" w:firstLineChars="200"/>
        <w:jc w:val="both"/>
        <w:rPr>
          <w:rFonts w:hint="eastAsia" w:ascii="楷体_GB2312" w:hAnsi="仿宋" w:eastAsia="楷体_GB2312" w:cs="仿宋"/>
          <w:color w:val="000000"/>
          <w:sz w:val="32"/>
          <w:szCs w:val="32"/>
        </w:rPr>
      </w:pPr>
      <w:r>
        <w:rPr>
          <w:rFonts w:hint="eastAsia" w:ascii="楷体_GB2312" w:hAnsi="仿宋" w:eastAsia="楷体_GB2312" w:cs="仿宋"/>
          <w:color w:val="000000"/>
          <w:sz w:val="32"/>
          <w:szCs w:val="32"/>
        </w:rPr>
        <w:t>（三）人大代表建议和政协提案办理结果公开情况。</w:t>
      </w:r>
    </w:p>
    <w:p w14:paraId="9B81D347">
      <w:pPr>
        <w:pStyle w:val="5"/>
        <w:spacing w:before="0" w:beforeAutospacing="0" w:after="0" w:afterAutospacing="0" w:line="560" w:lineRule="exact"/>
        <w:ind w:firstLine="640" w:firstLineChars="200"/>
        <w:jc w:val="both"/>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202</w:t>
      </w:r>
      <w:r>
        <w:rPr>
          <w:rFonts w:hint="default" w:ascii="仿宋_GB2312" w:hAnsi="仿宋" w:eastAsia="仿宋_GB2312" w:cs="仿宋"/>
          <w:color w:val="000000"/>
          <w:sz w:val="32"/>
          <w:szCs w:val="32"/>
          <w:lang w:val="en-US"/>
        </w:rPr>
        <w:t>5</w:t>
      </w:r>
      <w:r>
        <w:rPr>
          <w:rFonts w:hint="eastAsia" w:ascii="仿宋_GB2312" w:hAnsi="仿宋" w:eastAsia="仿宋_GB2312" w:cs="仿宋"/>
          <w:color w:val="000000"/>
          <w:sz w:val="32"/>
          <w:szCs w:val="32"/>
        </w:rPr>
        <w:t>年,区文化和旅游局建议提案办理</w:t>
      </w:r>
      <w:r>
        <w:rPr>
          <w:rFonts w:hint="eastAsia" w:ascii="仿宋_GB2312" w:hAnsi="仿宋" w:eastAsia="仿宋_GB2312" w:cs="仿宋"/>
          <w:color w:val="000000"/>
          <w:sz w:val="32"/>
          <w:szCs w:val="32"/>
          <w:lang w:val="en-US" w:eastAsia="zh-CN"/>
        </w:rPr>
        <w:t>33件</w:t>
      </w:r>
      <w:r>
        <w:rPr>
          <w:rFonts w:hint="eastAsia" w:ascii="仿宋_GB2312" w:hAnsi="仿宋" w:eastAsia="仿宋_GB2312" w:cs="仿宋"/>
          <w:color w:val="000000"/>
          <w:sz w:val="32"/>
          <w:szCs w:val="32"/>
        </w:rPr>
        <w:t>，均已按时办理答复，及时高效公开。</w:t>
      </w:r>
    </w:p>
    <w:p w14:paraId="8E81D438">
      <w:pPr>
        <w:widowControl/>
        <w:spacing w:line="560" w:lineRule="exact"/>
        <w:ind w:firstLine="640" w:firstLineChars="200"/>
        <w:jc w:val="left"/>
        <w:rPr>
          <w:rFonts w:hint="eastAsia" w:ascii="仿宋_GB2312" w:hAnsi="仿宋" w:eastAsia="仿宋_GB2312" w:cs="仿宋"/>
          <w:color w:val="000000"/>
          <w:kern w:val="0"/>
          <w:sz w:val="32"/>
          <w:szCs w:val="32"/>
        </w:rPr>
      </w:pPr>
      <w:r>
        <w:rPr>
          <w:rFonts w:hint="eastAsia" w:ascii="楷体_GB2312" w:hAnsi="仿宋" w:eastAsia="楷体_GB2312" w:cs="仿宋"/>
          <w:color w:val="000000"/>
          <w:kern w:val="0"/>
          <w:sz w:val="32"/>
          <w:szCs w:val="32"/>
        </w:rPr>
        <w:t>（四）政务公开工作创新情况:</w:t>
      </w:r>
      <w:r>
        <w:rPr>
          <w:rFonts w:hint="eastAsia" w:ascii="仿宋_GB2312" w:hAnsi="仿宋" w:eastAsia="仿宋_GB2312" w:cs="仿宋"/>
          <w:color w:val="000000"/>
          <w:kern w:val="0"/>
          <w:sz w:val="32"/>
          <w:szCs w:val="32"/>
        </w:rPr>
        <w:t>无。</w:t>
      </w:r>
    </w:p>
    <w:p w14:paraId="8285BEBB">
      <w:pPr>
        <w:widowControl/>
        <w:numPr>
          <w:ilvl w:val="0"/>
          <w:numId w:val="1"/>
        </w:numPr>
        <w:spacing w:line="560" w:lineRule="exact"/>
        <w:ind w:firstLine="640" w:firstLineChars="200"/>
        <w:jc w:val="left"/>
        <w:rPr>
          <w:rFonts w:hint="eastAsia" w:ascii="楷体_GB2312" w:hAnsi="仿宋" w:eastAsia="楷体_GB2312" w:cs="仿宋"/>
          <w:color w:val="000000"/>
          <w:kern w:val="0"/>
          <w:sz w:val="32"/>
          <w:szCs w:val="32"/>
        </w:rPr>
      </w:pPr>
      <w:r>
        <w:rPr>
          <w:rFonts w:hint="eastAsia" w:ascii="楷体_GB2312" w:hAnsi="仿宋" w:eastAsia="楷体_GB2312" w:cs="仿宋"/>
          <w:color w:val="000000"/>
          <w:kern w:val="0"/>
          <w:sz w:val="32"/>
          <w:szCs w:val="32"/>
        </w:rPr>
        <w:t>本行政机关政府信息公开工作年度报告数据统计需要说明的事项。</w:t>
      </w:r>
    </w:p>
    <w:p w14:paraId="2404F563">
      <w:pPr>
        <w:widowControl/>
        <w:spacing w:line="560" w:lineRule="exact"/>
        <w:ind w:firstLine="640" w:firstLineChars="200"/>
        <w:jc w:val="left"/>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报告中所列数据的统计期限自202</w:t>
      </w:r>
      <w:r>
        <w:rPr>
          <w:rFonts w:hint="default" w:ascii="仿宋_GB2312" w:hAnsi="仿宋" w:eastAsia="仿宋_GB2312" w:cs="仿宋"/>
          <w:color w:val="000000"/>
          <w:kern w:val="0"/>
          <w:sz w:val="32"/>
          <w:szCs w:val="32"/>
          <w:lang w:val="en-US"/>
        </w:rPr>
        <w:t>5</w:t>
      </w:r>
      <w:r>
        <w:rPr>
          <w:rFonts w:hint="eastAsia" w:ascii="仿宋_GB2312" w:hAnsi="仿宋" w:eastAsia="仿宋_GB2312" w:cs="仿宋"/>
          <w:color w:val="000000"/>
          <w:kern w:val="0"/>
          <w:sz w:val="32"/>
          <w:szCs w:val="32"/>
        </w:rPr>
        <w:t>年1月1日起至202</w:t>
      </w:r>
      <w:r>
        <w:rPr>
          <w:rFonts w:hint="default" w:ascii="仿宋_GB2312" w:hAnsi="仿宋" w:eastAsia="仿宋_GB2312" w:cs="仿宋"/>
          <w:color w:val="000000"/>
          <w:kern w:val="0"/>
          <w:sz w:val="32"/>
          <w:szCs w:val="32"/>
          <w:lang w:val="en-US"/>
        </w:rPr>
        <w:t>5</w:t>
      </w:r>
      <w:r>
        <w:rPr>
          <w:rFonts w:hint="eastAsia" w:ascii="仿宋_GB2312" w:hAnsi="仿宋" w:eastAsia="仿宋_GB2312" w:cs="仿宋"/>
          <w:color w:val="000000"/>
          <w:kern w:val="0"/>
          <w:sz w:val="32"/>
          <w:szCs w:val="32"/>
        </w:rPr>
        <w:t>年12月31日止。</w:t>
      </w:r>
    </w:p>
    <w:p w14:paraId="942C11DF">
      <w:pPr>
        <w:widowControl/>
        <w:numPr>
          <w:ilvl w:val="0"/>
          <w:numId w:val="1"/>
        </w:numPr>
        <w:spacing w:line="560" w:lineRule="exact"/>
        <w:ind w:firstLine="640" w:firstLineChars="200"/>
        <w:jc w:val="left"/>
        <w:rPr>
          <w:rFonts w:hint="eastAsia" w:ascii="仿宋_GB2312" w:hAnsi="仿宋" w:eastAsia="仿宋_GB2312" w:cs="仿宋"/>
          <w:color w:val="000000"/>
          <w:kern w:val="0"/>
          <w:sz w:val="32"/>
          <w:szCs w:val="32"/>
        </w:rPr>
      </w:pPr>
      <w:r>
        <w:rPr>
          <w:rFonts w:hint="eastAsia" w:ascii="楷体_GB2312" w:hAnsi="仿宋" w:eastAsia="楷体_GB2312" w:cs="仿宋"/>
          <w:color w:val="000000"/>
          <w:kern w:val="0"/>
          <w:sz w:val="32"/>
          <w:szCs w:val="32"/>
        </w:rPr>
        <w:t>本行政机关认为需要报告的其他事项:</w:t>
      </w:r>
      <w:r>
        <w:rPr>
          <w:rFonts w:hint="eastAsia" w:ascii="仿宋_GB2312" w:hAnsi="仿宋" w:eastAsia="仿宋_GB2312" w:cs="仿宋"/>
          <w:color w:val="000000"/>
          <w:kern w:val="0"/>
          <w:sz w:val="32"/>
          <w:szCs w:val="32"/>
        </w:rPr>
        <w:t>无。</w:t>
      </w:r>
    </w:p>
    <w:p w14:paraId="654B6011">
      <w:pPr>
        <w:widowControl/>
        <w:numPr>
          <w:ilvl w:val="0"/>
          <w:numId w:val="1"/>
        </w:numPr>
        <w:spacing w:line="560" w:lineRule="exact"/>
        <w:ind w:firstLine="640" w:firstLineChars="200"/>
        <w:jc w:val="left"/>
        <w:rPr>
          <w:rFonts w:hint="eastAsia" w:ascii="仿宋_GB2312" w:hAnsi="仿宋" w:eastAsia="仿宋_GB2312" w:cs="仿宋"/>
          <w:color w:val="000000"/>
          <w:kern w:val="0"/>
          <w:sz w:val="32"/>
          <w:szCs w:val="32"/>
        </w:rPr>
      </w:pPr>
      <w:r>
        <w:rPr>
          <w:rFonts w:hint="eastAsia" w:ascii="楷体_GB2312" w:hAnsi="仿宋" w:eastAsia="楷体_GB2312" w:cs="仿宋"/>
          <w:color w:val="000000"/>
          <w:kern w:val="0"/>
          <w:sz w:val="32"/>
          <w:szCs w:val="32"/>
        </w:rPr>
        <w:t>其他有关文件专门要求通过政府信息公开工作年度报告予以报告的事项:</w:t>
      </w:r>
      <w:r>
        <w:rPr>
          <w:rFonts w:hint="eastAsia" w:ascii="仿宋_GB2312" w:hAnsi="仿宋" w:eastAsia="仿宋_GB2312" w:cs="仿宋"/>
          <w:color w:val="000000"/>
          <w:kern w:val="0"/>
          <w:sz w:val="32"/>
          <w:szCs w:val="32"/>
        </w:rPr>
        <w:t>无。</w:t>
      </w:r>
    </w:p>
    <w:p w14:paraId="A83D3000">
      <w:pPr>
        <w:widowControl/>
        <w:spacing w:line="560" w:lineRule="exact"/>
        <w:ind w:firstLine="640" w:firstLineChars="200"/>
        <w:jc w:val="left"/>
        <w:rPr>
          <w:rFonts w:hint="eastAsia" w:ascii="仿宋_GB2312" w:hAnsi="仿宋_GB2312" w:eastAsia="仿宋_GB2312" w:cs="仿宋_GB2312"/>
          <w:color w:val="FF0000"/>
          <w:sz w:val="32"/>
          <w:szCs w:val="32"/>
        </w:rPr>
      </w:pPr>
    </w:p>
    <w:p w14:paraId="EBC6E128">
      <w:pPr>
        <w:widowControl/>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台儿庄区文化和旅游局</w:t>
      </w:r>
    </w:p>
    <w:p w14:paraId="69A78901">
      <w:pPr>
        <w:widowControl/>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lang w:val="en-US"/>
        </w:rPr>
        <w:t>6</w:t>
      </w:r>
      <w:r>
        <w:rPr>
          <w:rFonts w:hint="eastAsia" w:ascii="仿宋_GB2312" w:hAnsi="仿宋_GB2312" w:eastAsia="仿宋_GB2312" w:cs="仿宋_GB2312"/>
          <w:sz w:val="32"/>
          <w:szCs w:val="32"/>
        </w:rPr>
        <w:t>年1月1</w:t>
      </w:r>
      <w:r>
        <w:rPr>
          <w:rFonts w:hint="default" w:ascii="仿宋_GB2312" w:hAnsi="仿宋_GB2312" w:eastAsia="仿宋_GB2312" w:cs="仿宋_GB2312"/>
          <w:sz w:val="32"/>
          <w:szCs w:val="32"/>
          <w:lang w:val="en-US"/>
        </w:rPr>
        <w:t>6</w:t>
      </w:r>
      <w:r>
        <w:rPr>
          <w:rFonts w:hint="eastAsia" w:ascii="仿宋_GB2312" w:hAnsi="仿宋_GB2312" w:eastAsia="仿宋_GB2312" w:cs="仿宋_GB2312"/>
          <w:sz w:val="32"/>
          <w:szCs w:val="32"/>
        </w:rPr>
        <w:t>日</w:t>
      </w:r>
    </w:p>
    <w:sectPr>
      <w:pgSz w:w="11906" w:h="16838"/>
      <w:pgMar w:top="1985"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B4790"/>
    <w:rsid w:val="5A79B3D2"/>
    <w:rsid w:val="75F9ED23"/>
    <w:rsid w:val="7AFEF15F"/>
    <w:rsid w:val="7BFF9E41"/>
    <w:rsid w:val="7C9E2C54"/>
    <w:rsid w:val="7D8F81E1"/>
    <w:rsid w:val="7FBD37E0"/>
    <w:rsid w:val="877B1305"/>
    <w:rsid w:val="B74F0BA0"/>
    <w:rsid w:val="BCFB960B"/>
    <w:rsid w:val="D7BC3C1B"/>
    <w:rsid w:val="DB7FFA4F"/>
    <w:rsid w:val="F35BA39C"/>
    <w:rsid w:val="F3BF9451"/>
    <w:rsid w:val="F6856208"/>
    <w:rsid w:val="FDD3DE40"/>
    <w:rsid w:val="FFFE7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alloon Text"/>
    <w:basedOn w:val="1"/>
    <w:link w:val="11"/>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9ED6D47-91B3-4F2E-90D9-A0EACE1369D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2509</Words>
  <Characters>2627</Characters>
  <Paragraphs>412</Paragraphs>
  <TotalTime>60</TotalTime>
  <ScaleCrop>false</ScaleCrop>
  <LinksUpToDate>false</LinksUpToDate>
  <CharactersWithSpaces>2629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2025-01-21T01:38:00Z</dcterms:created>
  <dc:creator>China</dc:creator>
  <cp:lastModifiedBy>user</cp:lastModifiedBy>
  <cp:lastPrinted>2021-01-20T00:38:00Z</cp:lastPrinted>
  <dcterms:modified xsi:type="dcterms:W3CDTF">2026-01-28T09:57:03Z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E2045EAAD4F28CB708E66969FFBB17FB_43</vt:lpwstr>
  </property>
  <property fmtid="{D5CDD505-2E9C-101B-9397-08002B2CF9AE}" pid="4" name="KSOTemplateDocerSaveRecord">
    <vt:lpwstr>eyJoZGlkIjoiMzUzNDMxMmY4NGZjYzY4ZDBmMWZkZjQ4MjgyZDE2ZDUifQ==</vt:lpwstr>
  </property>
</Properties>
</file>