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368B7">
      <w:pPr>
        <w:keepNext w:val="0"/>
        <w:keepLines w:val="0"/>
        <w:pageBreakBefore w:val="0"/>
        <w:kinsoku/>
        <w:wordWrap/>
        <w:overflowPunct/>
        <w:topLinePunct w:val="0"/>
        <w:autoSpaceDE/>
        <w:autoSpaceDN/>
        <w:bidi w:val="0"/>
        <w:spacing w:line="560" w:lineRule="exact"/>
        <w:ind w:firstLine="1760" w:firstLineChars="400"/>
        <w:jc w:val="both"/>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枣</w:t>
      </w:r>
      <w:r>
        <w:rPr>
          <w:rFonts w:hint="eastAsia" w:ascii="方正小标宋简体" w:hAnsi="方正小标宋简体" w:eastAsia="方正小标宋简体" w:cs="方正小标宋简体"/>
          <w:color w:val="auto"/>
          <w:sz w:val="44"/>
          <w:szCs w:val="44"/>
        </w:rPr>
        <w:t>庄市台儿庄区医疗保障局</w:t>
      </w:r>
    </w:p>
    <w:p w14:paraId="24D211E8">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firstLine="880" w:firstLineChars="200"/>
        <w:jc w:val="both"/>
        <w:textAlignment w:val="auto"/>
        <w:rPr>
          <w:rFonts w:hint="eastAsia" w:ascii="仿宋_GB2312" w:eastAsia="仿宋_GB2312" w:cs="仿宋_GB2312"/>
          <w:color w:val="auto"/>
          <w:sz w:val="31"/>
          <w:szCs w:val="31"/>
          <w:shd w:val="clear" w:color="auto" w:fill="FFFFFF"/>
        </w:rPr>
      </w:pPr>
      <w:r>
        <w:rPr>
          <w:rFonts w:hint="eastAsia" w:ascii="方正小标宋简体" w:hAnsi="方正小标宋简体" w:eastAsia="方正小标宋简体" w:cs="方正小标宋简体"/>
          <w:color w:val="auto"/>
          <w:sz w:val="44"/>
          <w:szCs w:val="44"/>
          <w:lang w:eastAsia="zh-CN"/>
        </w:rPr>
        <w:t>202</w:t>
      </w:r>
      <w:r>
        <w:rPr>
          <w:rFonts w:hint="eastAsia" w:ascii="方正小标宋简体" w:hAnsi="方正小标宋简体" w:eastAsia="方正小标宋简体" w:cs="方正小标宋简体"/>
          <w:color w:val="auto"/>
          <w:sz w:val="44"/>
          <w:szCs w:val="44"/>
          <w:lang w:val="en-US" w:eastAsia="zh-CN"/>
        </w:rPr>
        <w:t>5</w:t>
      </w:r>
      <w:r>
        <w:rPr>
          <w:rFonts w:hint="eastAsia" w:ascii="方正小标宋简体" w:hAnsi="方正小标宋简体" w:eastAsia="方正小标宋简体" w:cs="方正小标宋简体"/>
          <w:color w:val="auto"/>
          <w:sz w:val="44"/>
          <w:szCs w:val="44"/>
        </w:rPr>
        <w:t>年政府信息公开工作年度报告</w:t>
      </w:r>
    </w:p>
    <w:p w14:paraId="6958EBBE">
      <w:pPr>
        <w:pStyle w:val="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left"/>
        <w:textAlignment w:val="auto"/>
        <w:rPr>
          <w:rFonts w:hint="eastAsia" w:ascii="仿宋_GB2312" w:eastAsia="仿宋_GB2312" w:cs="仿宋_GB2312"/>
          <w:color w:val="auto"/>
          <w:sz w:val="32"/>
          <w:szCs w:val="32"/>
          <w:shd w:val="clear" w:color="auto" w:fill="FFFFFF"/>
        </w:rPr>
      </w:pPr>
    </w:p>
    <w:p w14:paraId="4F9ED3A1">
      <w:pPr>
        <w:pStyle w:val="2"/>
        <w:keepNext w:val="0"/>
        <w:keepLines w:val="0"/>
        <w:pageBreakBefore w:val="0"/>
        <w:widowControl/>
        <w:shd w:val="clear" w:color="auto" w:fill="FFFFFF"/>
        <w:kinsoku/>
        <w:wordWrap w:val="0"/>
        <w:overflowPunct/>
        <w:topLinePunct w:val="0"/>
        <w:autoSpaceDE/>
        <w:autoSpaceDN/>
        <w:bidi w:val="0"/>
        <w:adjustRightInd w:val="0"/>
        <w:snapToGrid w:val="0"/>
        <w:spacing w:before="0" w:beforeAutospacing="0" w:after="0" w:afterAutospacing="0" w:line="560" w:lineRule="exact"/>
        <w:ind w:firstLine="640" w:firstLineChars="200"/>
        <w:jc w:val="left"/>
        <w:textAlignment w:val="auto"/>
        <w:rPr>
          <w:rFonts w:hint="eastAsia" w:ascii="仿宋_GB2312" w:eastAsia="仿宋_GB2312" w:cs="仿宋_GB2312"/>
          <w:color w:val="auto"/>
          <w:sz w:val="32"/>
          <w:szCs w:val="32"/>
          <w:shd w:val="clear" w:color="auto" w:fill="FFFFFF"/>
        </w:rPr>
      </w:pPr>
      <w:r>
        <w:rPr>
          <w:rFonts w:hint="eastAsia" w:ascii="仿宋_GB2312" w:eastAsia="仿宋_GB2312" w:cs="仿宋_GB2312"/>
          <w:color w:val="auto"/>
          <w:sz w:val="32"/>
          <w:szCs w:val="32"/>
          <w:shd w:val="clear" w:color="auto" w:fill="FFFFFF"/>
        </w:rPr>
        <w:t>根据《中华人民共和国政府信息公开条例》（国务院令第711号）相关规定及《台儿庄区人民政府办公室关于做好2025年政府信息公开工作年度报告编制和发布工作的通知》要求，现向社会公布台儿庄区医疗保障局2025年度政府信息公开报告。本报告由总体情况、主动公开政府信息情况、收到和处理政府信息公开申请情况、政府信息公开行政复议及行政诉讼情况、存在的主要问题及改进情况、其他需要报告的事项共六个部分组成。本报告所列数据的统计时限为2025年1月1日至2025年12月31日。本年度报告电子版可从枣庄市台儿庄区人民政府门户网站“台儿庄区人民政府”（http://www.tez.gov.cn/）查阅或下载。如对本报告有疑问，可与台儿庄区医疗保障局办公室联系（地址：枣庄市台儿庄区台中路市民中心D区4楼；邮编：277400；联系电话：0632-6680528；电子邮箱：tezybj@zz.shandong.cn）。</w:t>
      </w:r>
    </w:p>
    <w:p w14:paraId="6909BEC2">
      <w:pPr>
        <w:pStyle w:val="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left"/>
        <w:textAlignment w:val="auto"/>
        <w:rPr>
          <w:rFonts w:hint="eastAsia" w:asci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一、总体情况</w:t>
      </w:r>
      <w:bookmarkStart w:id="10" w:name="_GoBack"/>
      <w:bookmarkEnd w:id="10"/>
    </w:p>
    <w:p w14:paraId="5D3EFF57">
      <w:pPr>
        <w:pStyle w:val="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left"/>
        <w:textAlignment w:val="auto"/>
        <w:rPr>
          <w:rFonts w:hint="eastAsia" w:ascii="仿宋_GB2312" w:eastAsia="仿宋_GB2312" w:cs="仿宋_GB2312"/>
          <w:color w:val="auto"/>
          <w:sz w:val="32"/>
          <w:szCs w:val="32"/>
          <w:shd w:val="clear" w:color="auto" w:fill="FFFFFF"/>
          <w:lang w:eastAsia="zh-CN"/>
        </w:rPr>
      </w:pPr>
      <w:r>
        <w:rPr>
          <w:rFonts w:hint="eastAsia" w:ascii="仿宋_GB2312" w:eastAsia="仿宋_GB2312" w:cs="仿宋_GB2312"/>
          <w:color w:val="auto"/>
          <w:sz w:val="32"/>
          <w:szCs w:val="32"/>
          <w:shd w:val="clear" w:color="auto" w:fill="FFFFFF"/>
        </w:rPr>
        <w:t>依据《中华人民共和国政府信息公开条例》等政策法规，</w:t>
      </w:r>
      <w:r>
        <w:rPr>
          <w:rFonts w:hint="eastAsia" w:ascii="仿宋_GB2312" w:eastAsia="仿宋_GB2312" w:cs="仿宋_GB2312"/>
          <w:color w:val="auto"/>
          <w:sz w:val="32"/>
          <w:szCs w:val="32"/>
          <w:shd w:val="clear" w:color="auto" w:fill="FFFFFF"/>
          <w:lang w:eastAsia="zh-CN"/>
        </w:rPr>
        <w:t>一如既往坚持</w:t>
      </w:r>
      <w:r>
        <w:rPr>
          <w:rFonts w:hint="eastAsia" w:ascii="仿宋_GB2312" w:eastAsia="仿宋_GB2312" w:cs="仿宋_GB2312"/>
          <w:color w:val="auto"/>
          <w:sz w:val="32"/>
          <w:szCs w:val="32"/>
          <w:shd w:val="clear" w:color="auto" w:fill="FFFFFF"/>
        </w:rPr>
        <w:t>“公正、公平、便民”工作准则，持续推进政府信息公开工作走深走实，着力</w:t>
      </w:r>
      <w:r>
        <w:rPr>
          <w:rFonts w:hint="eastAsia" w:ascii="仿宋_GB2312" w:eastAsia="仿宋_GB2312" w:cs="仿宋_GB2312"/>
          <w:color w:val="auto"/>
          <w:sz w:val="32"/>
          <w:szCs w:val="32"/>
          <w:shd w:val="clear" w:color="auto" w:fill="FFFFFF"/>
          <w:lang w:eastAsia="zh-CN"/>
        </w:rPr>
        <w:t>在</w:t>
      </w:r>
      <w:r>
        <w:rPr>
          <w:rFonts w:hint="eastAsia" w:ascii="仿宋_GB2312" w:eastAsia="仿宋_GB2312" w:cs="仿宋_GB2312"/>
          <w:color w:val="auto"/>
          <w:sz w:val="32"/>
          <w:szCs w:val="32"/>
          <w:shd w:val="clear" w:color="auto" w:fill="FFFFFF"/>
        </w:rPr>
        <w:t>提升政务透明度与公信力</w:t>
      </w:r>
      <w:r>
        <w:rPr>
          <w:rFonts w:hint="eastAsia" w:ascii="仿宋_GB2312" w:eastAsia="仿宋_GB2312" w:cs="仿宋_GB2312"/>
          <w:color w:val="auto"/>
          <w:sz w:val="32"/>
          <w:szCs w:val="32"/>
          <w:shd w:val="clear" w:color="auto" w:fill="FFFFFF"/>
          <w:lang w:eastAsia="zh-CN"/>
        </w:rPr>
        <w:t>上下功夫</w:t>
      </w:r>
      <w:r>
        <w:rPr>
          <w:rFonts w:hint="eastAsia" w:ascii="仿宋_GB2312" w:eastAsia="仿宋_GB2312" w:cs="仿宋_GB2312"/>
          <w:color w:val="auto"/>
          <w:sz w:val="32"/>
          <w:szCs w:val="32"/>
          <w:shd w:val="clear" w:color="auto" w:fill="FFFFFF"/>
        </w:rPr>
        <w:t>，切实保障公众依法享有的知情权、参与权和监督权</w:t>
      </w:r>
      <w:r>
        <w:rPr>
          <w:rFonts w:hint="eastAsia" w:ascii="仿宋_GB2312" w:eastAsia="仿宋_GB2312" w:cs="仿宋_GB2312"/>
          <w:color w:val="auto"/>
          <w:sz w:val="32"/>
          <w:szCs w:val="32"/>
          <w:shd w:val="clear" w:color="auto" w:fill="FFFFFF"/>
          <w:lang w:eastAsia="zh-CN"/>
        </w:rPr>
        <w:t>。</w:t>
      </w:r>
    </w:p>
    <w:p w14:paraId="49A9898A">
      <w:pPr>
        <w:pStyle w:val="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left"/>
        <w:textAlignment w:val="auto"/>
        <w:rPr>
          <w:rFonts w:hint="eastAsia" w:ascii="仿宋_GB2312" w:eastAsia="仿宋_GB2312" w:cs="仿宋_GB2312"/>
          <w:color w:val="auto"/>
          <w:sz w:val="32"/>
          <w:szCs w:val="32"/>
          <w:shd w:val="clear" w:color="auto" w:fill="FFFFFF"/>
        </w:rPr>
      </w:pPr>
      <w:r>
        <w:rPr>
          <w:rFonts w:hint="eastAsia" w:ascii="楷体_GB2312" w:hAnsi="楷体_GB2312" w:eastAsia="楷体_GB2312" w:cs="楷体_GB2312"/>
          <w:color w:val="auto"/>
          <w:sz w:val="32"/>
          <w:szCs w:val="32"/>
          <w:shd w:val="clear" w:color="auto" w:fill="FFFFFF"/>
        </w:rPr>
        <w:t>（一）主动公开情况</w:t>
      </w:r>
    </w:p>
    <w:p w14:paraId="7B80D27C">
      <w:pPr>
        <w:pStyle w:val="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left"/>
        <w:textAlignment w:val="auto"/>
        <w:rPr>
          <w:rFonts w:hint="eastAsia" w:ascii="仿宋_GB2312" w:eastAsia="仿宋_GB2312" w:cs="仿宋_GB2312"/>
          <w:color w:val="auto"/>
          <w:sz w:val="32"/>
          <w:szCs w:val="32"/>
          <w:shd w:val="clear" w:color="auto" w:fill="FFFFFF"/>
        </w:rPr>
      </w:pPr>
      <w:r>
        <w:rPr>
          <w:rFonts w:hint="eastAsia" w:ascii="仿宋_GB2312" w:eastAsia="仿宋_GB2312" w:cs="仿宋_GB2312"/>
          <w:color w:val="auto"/>
          <w:sz w:val="32"/>
          <w:szCs w:val="32"/>
          <w:shd w:val="clear" w:color="auto" w:fill="FFFFFF"/>
        </w:rPr>
        <w:t>严格依据《中华人民共和国政府信息公开条例》及年度政务公开工作要点要求，精准梳理公开事项，规范公开流程。2025年，共主动公开政府信息</w:t>
      </w:r>
      <w:r>
        <w:rPr>
          <w:rFonts w:hint="eastAsia" w:ascii="仿宋_GB2312" w:eastAsia="仿宋_GB2312" w:cs="仿宋_GB2312"/>
          <w:color w:val="auto"/>
          <w:sz w:val="32"/>
          <w:szCs w:val="32"/>
          <w:shd w:val="clear" w:color="auto" w:fill="FFFFFF"/>
          <w:lang w:val="en-US" w:eastAsia="zh-CN"/>
        </w:rPr>
        <w:t>48</w:t>
      </w:r>
      <w:r>
        <w:rPr>
          <w:rFonts w:hint="eastAsia" w:ascii="仿宋_GB2312" w:eastAsia="仿宋_GB2312" w:cs="仿宋_GB2312"/>
          <w:color w:val="auto"/>
          <w:sz w:val="32"/>
          <w:szCs w:val="32"/>
          <w:shd w:val="clear" w:color="auto" w:fill="FFFFFF"/>
        </w:rPr>
        <w:t>件，重点聚焦医保政策解读、经办服务指南、民生保障举措等公众关切内容。</w:t>
      </w:r>
    </w:p>
    <w:p w14:paraId="033A6A29">
      <w:pPr>
        <w:pStyle w:val="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left"/>
        <w:textAlignment w:val="auto"/>
        <w:rPr>
          <w:rFonts w:hint="eastAsia" w:ascii="楷体_GB2312" w:hAnsi="楷体_GB2312" w:eastAsia="楷体_GB2312" w:cs="楷体_GB2312"/>
          <w:color w:val="auto"/>
          <w:sz w:val="32"/>
          <w:szCs w:val="32"/>
          <w:shd w:val="clear" w:color="auto" w:fill="FFFFFF"/>
        </w:rPr>
      </w:pPr>
      <w:r>
        <w:rPr>
          <w:rFonts w:hint="eastAsia" w:ascii="楷体_GB2312" w:hAnsi="楷体_GB2312" w:eastAsia="楷体_GB2312" w:cs="楷体_GB2312"/>
          <w:color w:val="auto"/>
          <w:sz w:val="32"/>
          <w:szCs w:val="32"/>
          <w:shd w:val="clear" w:color="auto" w:fill="FFFFFF"/>
        </w:rPr>
        <w:t>（二）依申请公开</w:t>
      </w:r>
    </w:p>
    <w:p w14:paraId="061DECD8">
      <w:pPr>
        <w:pStyle w:val="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left"/>
        <w:textAlignment w:val="auto"/>
        <w:rPr>
          <w:rFonts w:hint="eastAsia" w:ascii="仿宋_GB2312" w:eastAsia="仿宋_GB2312" w:cs="仿宋_GB2312"/>
          <w:color w:val="auto"/>
          <w:sz w:val="32"/>
          <w:szCs w:val="32"/>
          <w:shd w:val="clear" w:color="auto" w:fill="FFFFFF"/>
        </w:rPr>
      </w:pPr>
      <w:r>
        <w:rPr>
          <w:rFonts w:hint="eastAsia" w:ascii="仿宋_GB2312" w:eastAsia="仿宋_GB2312" w:cs="仿宋_GB2312"/>
          <w:color w:val="auto"/>
          <w:sz w:val="32"/>
          <w:szCs w:val="32"/>
          <w:shd w:val="clear" w:color="auto" w:fill="FFFFFF"/>
        </w:rPr>
        <w:t>健全完善依申请公开全流程管理机制，明确受理渠道、审查标准和答复规范。对符合公开条件的申请，依法及时予以公开；对部分公开或不予公开的申请，详细说明法定理由并做好沟通解释。2025年，共收到并规范处理政府信息公开申请</w:t>
      </w:r>
      <w:r>
        <w:rPr>
          <w:rFonts w:hint="eastAsia" w:ascii="仿宋_GB2312" w:eastAsia="仿宋_GB2312" w:cs="仿宋_GB2312"/>
          <w:color w:val="auto"/>
          <w:sz w:val="32"/>
          <w:szCs w:val="32"/>
          <w:shd w:val="clear" w:color="auto" w:fill="FFFFFF"/>
          <w:lang w:val="en-US" w:eastAsia="zh-CN"/>
        </w:rPr>
        <w:t>0</w:t>
      </w:r>
      <w:r>
        <w:rPr>
          <w:rFonts w:hint="eastAsia" w:ascii="仿宋_GB2312" w:eastAsia="仿宋_GB2312" w:cs="仿宋_GB2312"/>
          <w:color w:val="auto"/>
          <w:sz w:val="32"/>
          <w:szCs w:val="32"/>
          <w:shd w:val="clear" w:color="auto" w:fill="FFFFFF"/>
        </w:rPr>
        <w:t>件。</w:t>
      </w:r>
    </w:p>
    <w:p w14:paraId="58391770">
      <w:pPr>
        <w:pStyle w:val="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left"/>
        <w:textAlignment w:val="auto"/>
        <w:rPr>
          <w:rFonts w:hint="eastAsia" w:ascii="楷体_GB2312" w:hAnsi="楷体_GB2312" w:eastAsia="楷体_GB2312" w:cs="楷体_GB2312"/>
          <w:color w:val="auto"/>
          <w:sz w:val="32"/>
          <w:szCs w:val="32"/>
          <w:shd w:val="clear" w:color="auto" w:fill="FFFFFF"/>
        </w:rPr>
      </w:pPr>
      <w:r>
        <w:rPr>
          <w:rFonts w:hint="eastAsia" w:ascii="楷体_GB2312" w:hAnsi="楷体_GB2312" w:eastAsia="楷体_GB2312" w:cs="楷体_GB2312"/>
          <w:color w:val="auto"/>
          <w:sz w:val="32"/>
          <w:szCs w:val="32"/>
          <w:shd w:val="clear" w:color="auto" w:fill="FFFFFF"/>
        </w:rPr>
        <w:t>（三）政府信息管理</w:t>
      </w:r>
    </w:p>
    <w:p w14:paraId="61BE3814">
      <w:pPr>
        <w:pStyle w:val="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left"/>
        <w:textAlignment w:val="auto"/>
        <w:rPr>
          <w:rFonts w:hint="eastAsia" w:ascii="仿宋_GB2312" w:eastAsia="仿宋_GB2312" w:cs="仿宋_GB2312"/>
          <w:color w:val="auto"/>
          <w:sz w:val="32"/>
          <w:szCs w:val="32"/>
          <w:shd w:val="clear" w:color="auto" w:fill="FFFFFF"/>
        </w:rPr>
      </w:pPr>
      <w:r>
        <w:rPr>
          <w:rFonts w:hint="eastAsia" w:ascii="仿宋_GB2312" w:eastAsia="仿宋_GB2312" w:cs="仿宋_GB2312"/>
          <w:color w:val="auto"/>
          <w:sz w:val="32"/>
          <w:szCs w:val="32"/>
          <w:shd w:val="clear" w:color="auto" w:fill="FFFFFF"/>
        </w:rPr>
        <w:t>优化信息发布审核闭环机制，细化各环节责任分工，严格执行“科室初审、分管领导审批”流程，确保公开信息真实准确、完整规范。建立常态化信息更新维护机制，定期开展已公开信息自查清理，及时撤换过期失效内容，保障信息时效性与实用性。</w:t>
      </w:r>
    </w:p>
    <w:p w14:paraId="296F4C8A">
      <w:pPr>
        <w:pStyle w:val="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left"/>
        <w:textAlignment w:val="auto"/>
        <w:rPr>
          <w:rFonts w:hint="eastAsia" w:ascii="楷体_GB2312" w:hAnsi="楷体_GB2312" w:eastAsia="楷体_GB2312" w:cs="楷体_GB2312"/>
          <w:color w:val="auto"/>
          <w:sz w:val="32"/>
          <w:szCs w:val="32"/>
          <w:shd w:val="clear" w:color="auto" w:fill="FFFFFF"/>
        </w:rPr>
      </w:pPr>
      <w:r>
        <w:rPr>
          <w:rFonts w:hint="eastAsia" w:ascii="楷体_GB2312" w:hAnsi="楷体_GB2312" w:eastAsia="楷体_GB2312" w:cs="楷体_GB2312"/>
          <w:color w:val="auto"/>
          <w:sz w:val="32"/>
          <w:szCs w:val="32"/>
          <w:shd w:val="clear" w:color="auto" w:fill="FFFFFF"/>
        </w:rPr>
        <w:t>（四）政府信息公开平台建设</w:t>
      </w:r>
    </w:p>
    <w:p w14:paraId="51DAC73B">
      <w:pPr>
        <w:pStyle w:val="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left"/>
        <w:textAlignment w:val="auto"/>
        <w:rPr>
          <w:rFonts w:hint="eastAsia" w:ascii="仿宋_GB2312" w:eastAsia="仿宋_GB2312" w:cs="仿宋_GB2312"/>
          <w:color w:val="auto"/>
          <w:sz w:val="32"/>
          <w:szCs w:val="32"/>
          <w:shd w:val="clear" w:color="auto" w:fill="FFFFFF"/>
        </w:rPr>
      </w:pPr>
      <w:r>
        <w:rPr>
          <w:rFonts w:hint="eastAsia" w:ascii="仿宋_GB2312" w:eastAsia="仿宋_GB2312" w:cs="仿宋_GB2312"/>
          <w:color w:val="auto"/>
          <w:sz w:val="32"/>
          <w:szCs w:val="32"/>
          <w:shd w:val="clear" w:color="auto" w:fill="FFFFFF"/>
        </w:rPr>
        <w:t>持续完善台儿庄区政府门户网站信息公开专栏功能，强化微信公众号“台儿庄医疗保障”运营维护，确保法定主动公开内容全面覆盖、权威发布。加强平台安全防护管理，定期开展安全隐患排查，保障公开平台稳定运行、安全可靠。</w:t>
      </w:r>
    </w:p>
    <w:p w14:paraId="44F5C0F4">
      <w:pPr>
        <w:pStyle w:val="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left"/>
        <w:textAlignment w:val="auto"/>
        <w:rPr>
          <w:rFonts w:hint="eastAsia" w:ascii="楷体_GB2312" w:hAnsi="楷体_GB2312" w:eastAsia="楷体_GB2312" w:cs="楷体_GB2312"/>
          <w:color w:val="auto"/>
          <w:sz w:val="32"/>
          <w:szCs w:val="32"/>
          <w:shd w:val="clear" w:color="auto" w:fill="FFFFFF"/>
        </w:rPr>
      </w:pPr>
      <w:r>
        <w:rPr>
          <w:rFonts w:hint="eastAsia" w:ascii="楷体_GB2312" w:hAnsi="楷体_GB2312" w:eastAsia="楷体_GB2312" w:cs="楷体_GB2312"/>
          <w:color w:val="auto"/>
          <w:sz w:val="32"/>
          <w:szCs w:val="32"/>
          <w:shd w:val="clear" w:color="auto" w:fill="FFFFFF"/>
        </w:rPr>
        <w:t>（五）监督保障</w:t>
      </w:r>
    </w:p>
    <w:p w14:paraId="77E1614F">
      <w:pPr>
        <w:pStyle w:val="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left"/>
        <w:textAlignment w:val="auto"/>
        <w:rPr>
          <w:rFonts w:hint="eastAsia" w:ascii="仿宋_GB2312" w:eastAsia="仿宋_GB2312" w:cs="仿宋_GB2312"/>
          <w:color w:val="auto"/>
          <w:sz w:val="32"/>
          <w:szCs w:val="32"/>
          <w:shd w:val="clear" w:color="auto" w:fill="FFFFFF"/>
        </w:rPr>
      </w:pPr>
      <w:r>
        <w:rPr>
          <w:rFonts w:hint="eastAsia" w:ascii="仿宋_GB2312" w:eastAsia="仿宋_GB2312" w:cs="仿宋_GB2312"/>
          <w:color w:val="auto"/>
          <w:sz w:val="32"/>
          <w:szCs w:val="32"/>
          <w:shd w:val="clear" w:color="auto" w:fill="FFFFFF"/>
        </w:rPr>
        <w:t>健全信息公开工作监督考核体系，将信息公开工作纳入各科室年度绩效考核指标，定期开展专项检查与成效评估。建立问责机制，对工作推进不力、落实不到位的情况及时督促整改，倒逼工作提质增效。</w:t>
      </w:r>
    </w:p>
    <w:p w14:paraId="39D236CE">
      <w:pPr>
        <w:pStyle w:val="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46"/>
        <w:jc w:val="left"/>
        <w:textAlignment w:val="auto"/>
        <w:rPr>
          <w:color w:val="auto"/>
        </w:rPr>
      </w:pPr>
      <w:r>
        <w:rPr>
          <w:rFonts w:hint="eastAsia" w:ascii="黑体" w:hAnsi="宋体" w:eastAsia="黑体" w:cs="黑体"/>
          <w:color w:val="auto"/>
          <w:sz w:val="32"/>
          <w:szCs w:val="32"/>
          <w:shd w:val="clear" w:color="auto" w:fill="FFFFFF"/>
        </w:rPr>
        <w:t>二、主动公开政府信息情况</w:t>
      </w:r>
    </w:p>
    <w:tbl>
      <w:tblPr>
        <w:tblStyle w:val="3"/>
        <w:tblW w:w="8835" w:type="dxa"/>
        <w:jc w:val="center"/>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Layout w:type="autofit"/>
        <w:tblCellMar>
          <w:top w:w="75" w:type="dxa"/>
          <w:left w:w="150" w:type="dxa"/>
          <w:bottom w:w="75" w:type="dxa"/>
          <w:right w:w="150" w:type="dxa"/>
        </w:tblCellMar>
      </w:tblPr>
      <w:tblGrid>
        <w:gridCol w:w="2039"/>
        <w:gridCol w:w="2054"/>
        <w:gridCol w:w="2054"/>
        <w:gridCol w:w="2688"/>
      </w:tblGrid>
      <w:tr w14:paraId="2766AADA">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45" w:hRule="atLeast"/>
          <w:jc w:val="center"/>
        </w:trPr>
        <w:tc>
          <w:tcPr>
            <w:tcW w:w="8580" w:type="dxa"/>
            <w:gridSpan w:val="4"/>
            <w:tcBorders>
              <w:top w:val="single" w:color="00000A" w:sz="8" w:space="0"/>
              <w:left w:val="single" w:color="00000A" w:sz="8" w:space="0"/>
              <w:bottom w:val="single" w:color="00000A" w:sz="8" w:space="0"/>
              <w:right w:val="single" w:color="000001" w:sz="8" w:space="0"/>
            </w:tcBorders>
            <w:shd w:val="clear" w:color="auto" w:fill="C6D9F1"/>
            <w:tcMar>
              <w:top w:w="0" w:type="dxa"/>
              <w:left w:w="115" w:type="dxa"/>
              <w:bottom w:w="0" w:type="dxa"/>
              <w:right w:w="115" w:type="dxa"/>
            </w:tcMar>
            <w:vAlign w:val="center"/>
          </w:tcPr>
          <w:p w14:paraId="1FDC4662">
            <w:pPr>
              <w:widowControl/>
              <w:spacing w:line="560" w:lineRule="exact"/>
              <w:jc w:val="center"/>
              <w:rPr>
                <w:rFonts w:ascii="宋体" w:hAnsi="宋体" w:eastAsia="宋体" w:cs="宋体"/>
                <w:color w:val="auto"/>
                <w:kern w:val="0"/>
                <w:sz w:val="20"/>
                <w:szCs w:val="20"/>
              </w:rPr>
            </w:pPr>
            <w:r>
              <w:rPr>
                <w:rFonts w:hint="eastAsia" w:ascii="黑体" w:hAnsi="黑体" w:eastAsia="黑体" w:cs="宋体"/>
                <w:color w:val="auto"/>
                <w:kern w:val="0"/>
                <w:sz w:val="20"/>
                <w:szCs w:val="20"/>
              </w:rPr>
              <w:t>第二十条第（一）项</w:t>
            </w:r>
          </w:p>
        </w:tc>
      </w:tr>
      <w:tr w14:paraId="418A4343">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60" w:hRule="atLeast"/>
          <w:jc w:val="center"/>
        </w:trPr>
        <w:tc>
          <w:tcPr>
            <w:tcW w:w="1980" w:type="dxa"/>
            <w:tcBorders>
              <w:top w:val="nil"/>
              <w:left w:val="single" w:color="00000A" w:sz="8" w:space="0"/>
              <w:bottom w:val="single" w:color="00000A" w:sz="8" w:space="0"/>
              <w:right w:val="single" w:color="00000A" w:sz="8" w:space="0"/>
            </w:tcBorders>
            <w:shd w:val="clear" w:color="auto" w:fill="FFFFFF"/>
            <w:tcMar>
              <w:top w:w="0" w:type="dxa"/>
              <w:left w:w="115" w:type="dxa"/>
              <w:bottom w:w="0" w:type="dxa"/>
              <w:right w:w="115" w:type="dxa"/>
            </w:tcMar>
            <w:vAlign w:val="center"/>
          </w:tcPr>
          <w:p w14:paraId="292CD6C7">
            <w:pPr>
              <w:widowControl/>
              <w:spacing w:line="560" w:lineRule="exact"/>
              <w:jc w:val="center"/>
              <w:rPr>
                <w:rFonts w:ascii="宋体" w:hAnsi="宋体" w:eastAsia="宋体" w:cs="宋体"/>
                <w:color w:val="auto"/>
                <w:kern w:val="0"/>
                <w:sz w:val="20"/>
                <w:szCs w:val="20"/>
              </w:rPr>
            </w:pPr>
            <w:r>
              <w:rPr>
                <w:rFonts w:hint="eastAsia" w:ascii="仿宋_GB2312" w:hAnsi="宋体" w:eastAsia="仿宋_GB2312" w:cs="宋体"/>
                <w:color w:val="auto"/>
                <w:kern w:val="0"/>
                <w:sz w:val="20"/>
                <w:szCs w:val="20"/>
              </w:rPr>
              <w:t>信息内容</w:t>
            </w:r>
          </w:p>
        </w:tc>
        <w:tc>
          <w:tcPr>
            <w:tcW w:w="1995" w:type="dxa"/>
            <w:tcBorders>
              <w:top w:val="nil"/>
              <w:left w:val="nil"/>
              <w:bottom w:val="single" w:color="00000A" w:sz="8" w:space="0"/>
              <w:right w:val="single" w:color="00000A" w:sz="8" w:space="0"/>
            </w:tcBorders>
            <w:shd w:val="clear" w:color="auto" w:fill="FFFFFF"/>
            <w:tcMar>
              <w:top w:w="0" w:type="dxa"/>
              <w:left w:w="0" w:type="dxa"/>
              <w:bottom w:w="0" w:type="dxa"/>
              <w:right w:w="115" w:type="dxa"/>
            </w:tcMar>
            <w:vAlign w:val="center"/>
          </w:tcPr>
          <w:p w14:paraId="49373174">
            <w:pPr>
              <w:widowControl/>
              <w:spacing w:line="560" w:lineRule="exact"/>
              <w:jc w:val="center"/>
              <w:rPr>
                <w:rFonts w:ascii="宋体" w:hAnsi="宋体" w:eastAsia="宋体" w:cs="宋体"/>
                <w:color w:val="auto"/>
                <w:kern w:val="0"/>
                <w:sz w:val="20"/>
                <w:szCs w:val="20"/>
              </w:rPr>
            </w:pPr>
            <w:r>
              <w:rPr>
                <w:rFonts w:hint="eastAsia" w:ascii="仿宋_GB2312" w:hAnsi="宋体" w:eastAsia="仿宋_GB2312" w:cs="宋体"/>
                <w:color w:val="auto"/>
                <w:kern w:val="0"/>
                <w:sz w:val="20"/>
                <w:szCs w:val="20"/>
              </w:rPr>
              <w:t>本年制发件数</w:t>
            </w:r>
          </w:p>
        </w:tc>
        <w:tc>
          <w:tcPr>
            <w:tcW w:w="1995" w:type="dxa"/>
            <w:tcBorders>
              <w:top w:val="nil"/>
              <w:left w:val="nil"/>
              <w:bottom w:val="single" w:color="00000A" w:sz="8" w:space="0"/>
              <w:right w:val="single" w:color="00000A" w:sz="8" w:space="0"/>
            </w:tcBorders>
            <w:shd w:val="clear" w:color="auto" w:fill="FFFFFF"/>
            <w:tcMar>
              <w:top w:w="0" w:type="dxa"/>
              <w:left w:w="0" w:type="dxa"/>
              <w:bottom w:w="0" w:type="dxa"/>
              <w:right w:w="115" w:type="dxa"/>
            </w:tcMar>
            <w:vAlign w:val="center"/>
          </w:tcPr>
          <w:p w14:paraId="59409C68">
            <w:pPr>
              <w:widowControl/>
              <w:spacing w:line="560" w:lineRule="exact"/>
              <w:jc w:val="center"/>
              <w:rPr>
                <w:rFonts w:ascii="宋体" w:hAnsi="宋体" w:eastAsia="宋体" w:cs="宋体"/>
                <w:color w:val="auto"/>
                <w:kern w:val="0"/>
                <w:sz w:val="20"/>
                <w:szCs w:val="20"/>
              </w:rPr>
            </w:pPr>
            <w:r>
              <w:rPr>
                <w:rFonts w:hint="eastAsia" w:ascii="仿宋_GB2312" w:hAnsi="宋体" w:eastAsia="仿宋_GB2312" w:cs="宋体"/>
                <w:color w:val="auto"/>
                <w:kern w:val="0"/>
                <w:sz w:val="20"/>
                <w:szCs w:val="20"/>
              </w:rPr>
              <w:t>本年废止件数</w:t>
            </w:r>
          </w:p>
        </w:tc>
        <w:tc>
          <w:tcPr>
            <w:tcW w:w="1980" w:type="dxa"/>
            <w:tcBorders>
              <w:top w:val="nil"/>
              <w:left w:val="nil"/>
              <w:bottom w:val="single" w:color="00000A" w:sz="8" w:space="0"/>
              <w:right w:val="single" w:color="00000A" w:sz="8" w:space="0"/>
            </w:tcBorders>
            <w:shd w:val="clear" w:color="auto" w:fill="FFFFFF"/>
            <w:tcMar>
              <w:top w:w="0" w:type="dxa"/>
              <w:left w:w="0" w:type="dxa"/>
              <w:bottom w:w="0" w:type="dxa"/>
              <w:right w:w="115" w:type="dxa"/>
            </w:tcMar>
            <w:vAlign w:val="center"/>
          </w:tcPr>
          <w:p w14:paraId="380F2C64">
            <w:pPr>
              <w:widowControl/>
              <w:spacing w:line="560" w:lineRule="exact"/>
              <w:jc w:val="center"/>
              <w:rPr>
                <w:rFonts w:ascii="宋体" w:hAnsi="宋体" w:eastAsia="宋体" w:cs="宋体"/>
                <w:color w:val="auto"/>
                <w:kern w:val="0"/>
                <w:sz w:val="20"/>
                <w:szCs w:val="20"/>
              </w:rPr>
            </w:pPr>
            <w:r>
              <w:rPr>
                <w:rFonts w:hint="eastAsia" w:ascii="仿宋_GB2312" w:hAnsi="宋体" w:eastAsia="仿宋_GB2312" w:cs="宋体"/>
                <w:color w:val="auto"/>
                <w:kern w:val="0"/>
                <w:sz w:val="20"/>
                <w:szCs w:val="20"/>
              </w:rPr>
              <w:t>现行有效件数</w:t>
            </w:r>
          </w:p>
        </w:tc>
      </w:tr>
      <w:tr w14:paraId="31458B6B">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60" w:hRule="atLeast"/>
          <w:jc w:val="center"/>
        </w:trPr>
        <w:tc>
          <w:tcPr>
            <w:tcW w:w="1980" w:type="dxa"/>
            <w:tcBorders>
              <w:top w:val="nil"/>
              <w:left w:val="single" w:color="00000A" w:sz="8" w:space="0"/>
              <w:bottom w:val="single" w:color="00000A" w:sz="8" w:space="0"/>
              <w:right w:val="single" w:color="00000A" w:sz="8" w:space="0"/>
            </w:tcBorders>
            <w:shd w:val="clear" w:color="auto" w:fill="FFFFFF"/>
            <w:tcMar>
              <w:top w:w="0" w:type="dxa"/>
              <w:left w:w="115" w:type="dxa"/>
              <w:bottom w:w="0" w:type="dxa"/>
              <w:right w:w="115" w:type="dxa"/>
            </w:tcMar>
            <w:vAlign w:val="center"/>
          </w:tcPr>
          <w:p w14:paraId="22B15A31">
            <w:pPr>
              <w:widowControl/>
              <w:spacing w:line="560" w:lineRule="exact"/>
              <w:jc w:val="left"/>
              <w:rPr>
                <w:rFonts w:ascii="宋体" w:hAnsi="宋体" w:eastAsia="宋体" w:cs="宋体"/>
                <w:color w:val="auto"/>
                <w:kern w:val="0"/>
                <w:sz w:val="20"/>
                <w:szCs w:val="20"/>
              </w:rPr>
            </w:pPr>
            <w:r>
              <w:rPr>
                <w:rFonts w:hint="eastAsia" w:ascii="仿宋_GB2312" w:hAnsi="宋体" w:eastAsia="仿宋_GB2312" w:cs="宋体"/>
                <w:color w:val="auto"/>
                <w:kern w:val="0"/>
                <w:sz w:val="20"/>
                <w:szCs w:val="20"/>
              </w:rPr>
              <w:t>规章</w:t>
            </w:r>
          </w:p>
        </w:tc>
        <w:tc>
          <w:tcPr>
            <w:tcW w:w="1995" w:type="dxa"/>
            <w:tcBorders>
              <w:top w:val="nil"/>
              <w:left w:val="nil"/>
              <w:bottom w:val="single" w:color="00000A" w:sz="8" w:space="0"/>
              <w:right w:val="single" w:color="00000A" w:sz="8" w:space="0"/>
            </w:tcBorders>
            <w:shd w:val="clear" w:color="auto" w:fill="FFFFFF"/>
            <w:tcMar>
              <w:top w:w="0" w:type="dxa"/>
              <w:left w:w="0" w:type="dxa"/>
              <w:bottom w:w="0" w:type="dxa"/>
              <w:right w:w="115" w:type="dxa"/>
            </w:tcMar>
            <w:vAlign w:val="center"/>
          </w:tcPr>
          <w:p w14:paraId="27223DAF">
            <w:pPr>
              <w:widowControl/>
              <w:spacing w:line="560" w:lineRule="exact"/>
              <w:jc w:val="center"/>
              <w:rPr>
                <w:rFonts w:ascii="宋体" w:hAnsi="宋体" w:eastAsia="宋体" w:cs="宋体"/>
                <w:color w:val="auto"/>
                <w:kern w:val="0"/>
                <w:sz w:val="20"/>
                <w:szCs w:val="20"/>
              </w:rPr>
            </w:pPr>
            <w:r>
              <w:rPr>
                <w:rFonts w:hint="eastAsia" w:ascii="仿宋_GB2312" w:hAnsi="Calibri" w:eastAsia="仿宋_GB2312" w:cs="宋体"/>
                <w:color w:val="auto"/>
                <w:kern w:val="0"/>
                <w:sz w:val="20"/>
                <w:szCs w:val="20"/>
              </w:rPr>
              <w:t>0</w:t>
            </w:r>
          </w:p>
        </w:tc>
        <w:tc>
          <w:tcPr>
            <w:tcW w:w="1995" w:type="dxa"/>
            <w:tcBorders>
              <w:top w:val="nil"/>
              <w:left w:val="nil"/>
              <w:bottom w:val="single" w:color="00000A" w:sz="8" w:space="0"/>
              <w:right w:val="single" w:color="00000A" w:sz="8" w:space="0"/>
            </w:tcBorders>
            <w:shd w:val="clear" w:color="auto" w:fill="FFFFFF"/>
            <w:tcMar>
              <w:top w:w="0" w:type="dxa"/>
              <w:left w:w="0" w:type="dxa"/>
              <w:bottom w:w="0" w:type="dxa"/>
              <w:right w:w="115" w:type="dxa"/>
            </w:tcMar>
            <w:vAlign w:val="center"/>
          </w:tcPr>
          <w:p w14:paraId="67C3D142">
            <w:pPr>
              <w:widowControl/>
              <w:spacing w:line="560" w:lineRule="exact"/>
              <w:jc w:val="center"/>
              <w:rPr>
                <w:rFonts w:ascii="宋体" w:hAnsi="宋体" w:eastAsia="宋体" w:cs="宋体"/>
                <w:color w:val="auto"/>
                <w:kern w:val="0"/>
                <w:sz w:val="20"/>
                <w:szCs w:val="20"/>
              </w:rPr>
            </w:pPr>
            <w:r>
              <w:rPr>
                <w:rFonts w:hint="eastAsia" w:ascii="仿宋_GB2312" w:hAnsi="Calibri" w:eastAsia="仿宋_GB2312" w:cs="宋体"/>
                <w:color w:val="auto"/>
                <w:kern w:val="0"/>
                <w:sz w:val="20"/>
                <w:szCs w:val="20"/>
              </w:rPr>
              <w:t>0</w:t>
            </w:r>
          </w:p>
        </w:tc>
        <w:tc>
          <w:tcPr>
            <w:tcW w:w="1980" w:type="dxa"/>
            <w:tcBorders>
              <w:top w:val="nil"/>
              <w:left w:val="nil"/>
              <w:bottom w:val="single" w:color="00000A" w:sz="8" w:space="0"/>
              <w:right w:val="single" w:color="00000A" w:sz="8" w:space="0"/>
            </w:tcBorders>
            <w:shd w:val="clear" w:color="auto" w:fill="FFFFFF"/>
            <w:tcMar>
              <w:top w:w="0" w:type="dxa"/>
              <w:left w:w="0" w:type="dxa"/>
              <w:bottom w:w="0" w:type="dxa"/>
              <w:right w:w="115" w:type="dxa"/>
            </w:tcMar>
            <w:vAlign w:val="center"/>
          </w:tcPr>
          <w:p w14:paraId="72B192F1">
            <w:pPr>
              <w:widowControl/>
              <w:spacing w:line="560" w:lineRule="exact"/>
              <w:jc w:val="center"/>
              <w:rPr>
                <w:rFonts w:ascii="宋体" w:hAnsi="宋体" w:eastAsia="宋体" w:cs="宋体"/>
                <w:color w:val="auto"/>
                <w:kern w:val="0"/>
                <w:sz w:val="20"/>
                <w:szCs w:val="20"/>
              </w:rPr>
            </w:pPr>
            <w:r>
              <w:rPr>
                <w:rFonts w:hint="eastAsia" w:ascii="仿宋_GB2312" w:hAnsi="Calibri" w:eastAsia="仿宋_GB2312" w:cs="宋体"/>
                <w:color w:val="auto"/>
                <w:kern w:val="0"/>
                <w:sz w:val="20"/>
                <w:szCs w:val="20"/>
              </w:rPr>
              <w:t>0</w:t>
            </w:r>
          </w:p>
        </w:tc>
      </w:tr>
      <w:tr w14:paraId="27296449">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60" w:hRule="atLeast"/>
          <w:jc w:val="center"/>
        </w:trPr>
        <w:tc>
          <w:tcPr>
            <w:tcW w:w="1980" w:type="dxa"/>
            <w:tcBorders>
              <w:top w:val="nil"/>
              <w:left w:val="single" w:color="00000A" w:sz="8" w:space="0"/>
              <w:bottom w:val="single" w:color="00000A" w:sz="8" w:space="0"/>
              <w:right w:val="single" w:color="00000A" w:sz="8" w:space="0"/>
            </w:tcBorders>
            <w:shd w:val="clear" w:color="auto" w:fill="FFFFFF"/>
            <w:tcMar>
              <w:top w:w="0" w:type="dxa"/>
              <w:left w:w="115" w:type="dxa"/>
              <w:bottom w:w="0" w:type="dxa"/>
              <w:right w:w="115" w:type="dxa"/>
            </w:tcMar>
            <w:vAlign w:val="center"/>
          </w:tcPr>
          <w:p w14:paraId="41D5CBEA">
            <w:pPr>
              <w:widowControl/>
              <w:spacing w:line="560" w:lineRule="exact"/>
              <w:jc w:val="left"/>
              <w:rPr>
                <w:rFonts w:ascii="宋体" w:hAnsi="宋体" w:eastAsia="宋体" w:cs="宋体"/>
                <w:color w:val="auto"/>
                <w:kern w:val="0"/>
                <w:sz w:val="20"/>
                <w:szCs w:val="20"/>
              </w:rPr>
            </w:pPr>
            <w:r>
              <w:rPr>
                <w:rFonts w:hint="eastAsia" w:ascii="仿宋_GB2312" w:hAnsi="宋体" w:eastAsia="仿宋_GB2312" w:cs="宋体"/>
                <w:color w:val="auto"/>
                <w:kern w:val="0"/>
                <w:sz w:val="20"/>
                <w:szCs w:val="20"/>
              </w:rPr>
              <w:t>行政规范性文件</w:t>
            </w:r>
          </w:p>
        </w:tc>
        <w:tc>
          <w:tcPr>
            <w:tcW w:w="1995" w:type="dxa"/>
            <w:tcBorders>
              <w:top w:val="nil"/>
              <w:left w:val="nil"/>
              <w:bottom w:val="single" w:color="00000A" w:sz="8" w:space="0"/>
              <w:right w:val="single" w:color="00000A" w:sz="8" w:space="0"/>
            </w:tcBorders>
            <w:shd w:val="clear" w:color="auto" w:fill="FFFFFF"/>
            <w:tcMar>
              <w:top w:w="0" w:type="dxa"/>
              <w:left w:w="0" w:type="dxa"/>
              <w:bottom w:w="0" w:type="dxa"/>
              <w:right w:w="115" w:type="dxa"/>
            </w:tcMar>
            <w:vAlign w:val="center"/>
          </w:tcPr>
          <w:p w14:paraId="6FE8654E">
            <w:pPr>
              <w:widowControl/>
              <w:spacing w:line="560" w:lineRule="exact"/>
              <w:jc w:val="center"/>
              <w:rPr>
                <w:rFonts w:ascii="宋体" w:hAnsi="宋体" w:eastAsia="宋体" w:cs="宋体"/>
                <w:color w:val="auto"/>
                <w:kern w:val="0"/>
                <w:sz w:val="20"/>
                <w:szCs w:val="20"/>
              </w:rPr>
            </w:pPr>
            <w:r>
              <w:rPr>
                <w:rFonts w:hint="eastAsia" w:ascii="仿宋_GB2312" w:hAnsi="Calibri" w:eastAsia="仿宋_GB2312" w:cs="宋体"/>
                <w:color w:val="auto"/>
                <w:kern w:val="0"/>
                <w:sz w:val="20"/>
                <w:szCs w:val="20"/>
              </w:rPr>
              <w:t>0</w:t>
            </w:r>
          </w:p>
        </w:tc>
        <w:tc>
          <w:tcPr>
            <w:tcW w:w="1995" w:type="dxa"/>
            <w:tcBorders>
              <w:top w:val="nil"/>
              <w:left w:val="nil"/>
              <w:bottom w:val="single" w:color="00000A" w:sz="8" w:space="0"/>
              <w:right w:val="single" w:color="00000A" w:sz="8" w:space="0"/>
            </w:tcBorders>
            <w:shd w:val="clear" w:color="auto" w:fill="FFFFFF"/>
            <w:tcMar>
              <w:top w:w="0" w:type="dxa"/>
              <w:left w:w="0" w:type="dxa"/>
              <w:bottom w:w="0" w:type="dxa"/>
              <w:right w:w="115" w:type="dxa"/>
            </w:tcMar>
            <w:vAlign w:val="center"/>
          </w:tcPr>
          <w:p w14:paraId="072A59C8">
            <w:pPr>
              <w:widowControl/>
              <w:spacing w:line="560" w:lineRule="exact"/>
              <w:jc w:val="center"/>
              <w:rPr>
                <w:rFonts w:ascii="宋体" w:hAnsi="宋体" w:eastAsia="宋体" w:cs="宋体"/>
                <w:color w:val="auto"/>
                <w:kern w:val="0"/>
                <w:sz w:val="20"/>
                <w:szCs w:val="20"/>
              </w:rPr>
            </w:pPr>
            <w:r>
              <w:rPr>
                <w:rFonts w:hint="eastAsia" w:ascii="仿宋_GB2312" w:hAnsi="Calibri" w:eastAsia="仿宋_GB2312" w:cs="宋体"/>
                <w:color w:val="auto"/>
                <w:kern w:val="0"/>
                <w:sz w:val="20"/>
                <w:szCs w:val="20"/>
              </w:rPr>
              <w:t>0</w:t>
            </w:r>
          </w:p>
        </w:tc>
        <w:tc>
          <w:tcPr>
            <w:tcW w:w="1980" w:type="dxa"/>
            <w:tcBorders>
              <w:top w:val="nil"/>
              <w:left w:val="nil"/>
              <w:bottom w:val="single" w:color="00000A" w:sz="8" w:space="0"/>
              <w:right w:val="single" w:color="00000A" w:sz="8" w:space="0"/>
            </w:tcBorders>
            <w:shd w:val="clear" w:color="auto" w:fill="FFFFFF"/>
            <w:tcMar>
              <w:top w:w="0" w:type="dxa"/>
              <w:left w:w="0" w:type="dxa"/>
              <w:bottom w:w="0" w:type="dxa"/>
              <w:right w:w="115" w:type="dxa"/>
            </w:tcMar>
            <w:vAlign w:val="center"/>
          </w:tcPr>
          <w:p w14:paraId="6437A369">
            <w:pPr>
              <w:widowControl/>
              <w:spacing w:line="560" w:lineRule="exact"/>
              <w:jc w:val="center"/>
              <w:rPr>
                <w:rFonts w:ascii="宋体" w:hAnsi="宋体" w:eastAsia="宋体" w:cs="宋体"/>
                <w:color w:val="auto"/>
                <w:kern w:val="0"/>
                <w:sz w:val="20"/>
                <w:szCs w:val="20"/>
              </w:rPr>
            </w:pPr>
            <w:r>
              <w:rPr>
                <w:rFonts w:hint="eastAsia" w:ascii="仿宋_GB2312" w:hAnsi="Calibri" w:eastAsia="仿宋_GB2312" w:cs="宋体"/>
                <w:color w:val="auto"/>
                <w:kern w:val="0"/>
                <w:sz w:val="20"/>
                <w:szCs w:val="20"/>
              </w:rPr>
              <w:t>0</w:t>
            </w:r>
          </w:p>
        </w:tc>
      </w:tr>
      <w:tr w14:paraId="0D27AB42">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60" w:hRule="atLeast"/>
          <w:jc w:val="center"/>
        </w:trPr>
        <w:tc>
          <w:tcPr>
            <w:tcW w:w="8580" w:type="dxa"/>
            <w:gridSpan w:val="4"/>
            <w:tcBorders>
              <w:top w:val="single" w:color="00000A" w:sz="8" w:space="0"/>
              <w:left w:val="single" w:color="00000A" w:sz="8" w:space="0"/>
              <w:bottom w:val="single" w:color="00000A" w:sz="8" w:space="0"/>
              <w:right w:val="single" w:color="000001" w:sz="8" w:space="0"/>
            </w:tcBorders>
            <w:shd w:val="clear" w:color="auto" w:fill="C6D9F1"/>
            <w:tcMar>
              <w:top w:w="0" w:type="dxa"/>
              <w:left w:w="115" w:type="dxa"/>
              <w:bottom w:w="0" w:type="dxa"/>
              <w:right w:w="115" w:type="dxa"/>
            </w:tcMar>
            <w:vAlign w:val="center"/>
          </w:tcPr>
          <w:p w14:paraId="3E4490A3">
            <w:pPr>
              <w:widowControl/>
              <w:spacing w:line="560" w:lineRule="exact"/>
              <w:jc w:val="center"/>
              <w:rPr>
                <w:rFonts w:ascii="宋体" w:hAnsi="宋体" w:eastAsia="宋体" w:cs="宋体"/>
                <w:color w:val="auto"/>
                <w:kern w:val="0"/>
                <w:sz w:val="20"/>
                <w:szCs w:val="20"/>
              </w:rPr>
            </w:pPr>
            <w:r>
              <w:rPr>
                <w:rFonts w:hint="eastAsia" w:ascii="黑体" w:hAnsi="黑体" w:eastAsia="黑体" w:cs="宋体"/>
                <w:color w:val="auto"/>
                <w:kern w:val="0"/>
                <w:sz w:val="20"/>
                <w:szCs w:val="20"/>
              </w:rPr>
              <w:t>第二十条第（五）项</w:t>
            </w:r>
          </w:p>
        </w:tc>
      </w:tr>
      <w:tr w14:paraId="511D8CA5">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60" w:hRule="atLeast"/>
          <w:jc w:val="center"/>
        </w:trPr>
        <w:tc>
          <w:tcPr>
            <w:tcW w:w="1980" w:type="dxa"/>
            <w:tcBorders>
              <w:top w:val="nil"/>
              <w:left w:val="single" w:color="00000A" w:sz="8" w:space="0"/>
              <w:bottom w:val="single" w:color="00000A" w:sz="8" w:space="0"/>
              <w:right w:val="single" w:color="00000A" w:sz="8" w:space="0"/>
            </w:tcBorders>
            <w:shd w:val="clear" w:color="auto" w:fill="FFFFFF"/>
            <w:tcMar>
              <w:top w:w="0" w:type="dxa"/>
              <w:left w:w="115" w:type="dxa"/>
              <w:bottom w:w="0" w:type="dxa"/>
              <w:right w:w="115" w:type="dxa"/>
            </w:tcMar>
            <w:vAlign w:val="center"/>
          </w:tcPr>
          <w:p w14:paraId="14CEA62E">
            <w:pPr>
              <w:widowControl/>
              <w:spacing w:line="560" w:lineRule="exact"/>
              <w:jc w:val="center"/>
              <w:rPr>
                <w:rFonts w:ascii="宋体" w:hAnsi="宋体" w:eastAsia="宋体" w:cs="宋体"/>
                <w:color w:val="auto"/>
                <w:kern w:val="0"/>
                <w:sz w:val="20"/>
                <w:szCs w:val="20"/>
              </w:rPr>
            </w:pPr>
            <w:r>
              <w:rPr>
                <w:rFonts w:hint="eastAsia" w:ascii="仿宋_GB2312" w:hAnsi="宋体" w:eastAsia="仿宋_GB2312" w:cs="宋体"/>
                <w:color w:val="auto"/>
                <w:kern w:val="0"/>
                <w:sz w:val="20"/>
                <w:szCs w:val="20"/>
              </w:rPr>
              <w:t>信息内容</w:t>
            </w:r>
          </w:p>
        </w:tc>
        <w:tc>
          <w:tcPr>
            <w:tcW w:w="6390" w:type="dxa"/>
            <w:gridSpan w:val="3"/>
            <w:tcBorders>
              <w:top w:val="single" w:color="00000A" w:sz="8" w:space="0"/>
              <w:left w:val="nil"/>
              <w:bottom w:val="single" w:color="00000A" w:sz="8" w:space="0"/>
              <w:right w:val="single" w:color="000001" w:sz="8" w:space="0"/>
            </w:tcBorders>
            <w:shd w:val="clear" w:color="auto" w:fill="FFFFFF"/>
            <w:tcMar>
              <w:top w:w="0" w:type="dxa"/>
              <w:left w:w="0" w:type="dxa"/>
              <w:bottom w:w="0" w:type="dxa"/>
              <w:right w:w="115" w:type="dxa"/>
            </w:tcMar>
            <w:vAlign w:val="center"/>
          </w:tcPr>
          <w:p w14:paraId="3A4702B5">
            <w:pPr>
              <w:widowControl/>
              <w:spacing w:line="560" w:lineRule="exact"/>
              <w:jc w:val="center"/>
              <w:rPr>
                <w:rFonts w:ascii="宋体" w:hAnsi="宋体" w:eastAsia="宋体" w:cs="宋体"/>
                <w:color w:val="auto"/>
                <w:kern w:val="0"/>
                <w:sz w:val="20"/>
                <w:szCs w:val="20"/>
              </w:rPr>
            </w:pPr>
            <w:r>
              <w:rPr>
                <w:rFonts w:hint="eastAsia" w:ascii="仿宋_GB2312" w:hAnsi="宋体" w:eastAsia="仿宋_GB2312" w:cs="宋体"/>
                <w:color w:val="auto"/>
                <w:kern w:val="0"/>
                <w:sz w:val="20"/>
                <w:szCs w:val="20"/>
              </w:rPr>
              <w:t>本年处理决定数量</w:t>
            </w:r>
          </w:p>
        </w:tc>
      </w:tr>
      <w:tr w14:paraId="21EB3B5F">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60" w:hRule="atLeast"/>
          <w:jc w:val="center"/>
        </w:trPr>
        <w:tc>
          <w:tcPr>
            <w:tcW w:w="1980" w:type="dxa"/>
            <w:tcBorders>
              <w:top w:val="nil"/>
              <w:left w:val="single" w:color="00000A" w:sz="8" w:space="0"/>
              <w:bottom w:val="single" w:color="00000A" w:sz="8" w:space="0"/>
              <w:right w:val="single" w:color="00000A" w:sz="8" w:space="0"/>
            </w:tcBorders>
            <w:shd w:val="clear" w:color="auto" w:fill="FFFFFF"/>
            <w:tcMar>
              <w:top w:w="0" w:type="dxa"/>
              <w:left w:w="115" w:type="dxa"/>
              <w:bottom w:w="0" w:type="dxa"/>
              <w:right w:w="115" w:type="dxa"/>
            </w:tcMar>
            <w:vAlign w:val="center"/>
          </w:tcPr>
          <w:p w14:paraId="66EE3734">
            <w:pPr>
              <w:widowControl/>
              <w:spacing w:line="560" w:lineRule="exact"/>
              <w:jc w:val="left"/>
              <w:rPr>
                <w:rFonts w:ascii="宋体" w:hAnsi="宋体" w:eastAsia="宋体" w:cs="宋体"/>
                <w:color w:val="auto"/>
                <w:kern w:val="0"/>
                <w:sz w:val="20"/>
                <w:szCs w:val="20"/>
              </w:rPr>
            </w:pPr>
            <w:r>
              <w:rPr>
                <w:rFonts w:hint="eastAsia" w:ascii="仿宋_GB2312" w:hAnsi="宋体" w:eastAsia="仿宋_GB2312" w:cs="宋体"/>
                <w:color w:val="auto"/>
                <w:kern w:val="0"/>
                <w:sz w:val="20"/>
                <w:szCs w:val="20"/>
              </w:rPr>
              <w:t>行政许可</w:t>
            </w:r>
          </w:p>
        </w:tc>
        <w:tc>
          <w:tcPr>
            <w:tcW w:w="6390" w:type="dxa"/>
            <w:gridSpan w:val="3"/>
            <w:tcBorders>
              <w:top w:val="single" w:color="00000A" w:sz="8" w:space="0"/>
              <w:left w:val="nil"/>
              <w:bottom w:val="single" w:color="00000A" w:sz="8" w:space="0"/>
              <w:right w:val="single" w:color="000001" w:sz="8" w:space="0"/>
            </w:tcBorders>
            <w:shd w:val="clear" w:color="auto" w:fill="FFFFFF"/>
            <w:tcMar>
              <w:top w:w="0" w:type="dxa"/>
              <w:left w:w="0" w:type="dxa"/>
              <w:bottom w:w="0" w:type="dxa"/>
              <w:right w:w="115" w:type="dxa"/>
            </w:tcMar>
            <w:vAlign w:val="center"/>
          </w:tcPr>
          <w:p w14:paraId="08B67C34">
            <w:pPr>
              <w:widowControl/>
              <w:spacing w:line="560" w:lineRule="exact"/>
              <w:jc w:val="center"/>
              <w:rPr>
                <w:rFonts w:ascii="宋体" w:hAnsi="宋体" w:eastAsia="宋体" w:cs="宋体"/>
                <w:color w:val="auto"/>
                <w:kern w:val="0"/>
                <w:sz w:val="20"/>
                <w:szCs w:val="20"/>
              </w:rPr>
            </w:pPr>
            <w:r>
              <w:rPr>
                <w:rFonts w:hint="eastAsia" w:ascii="仿宋_GB2312" w:hAnsi="Calibri" w:eastAsia="仿宋_GB2312" w:cs="宋体"/>
                <w:color w:val="auto"/>
                <w:kern w:val="0"/>
                <w:sz w:val="20"/>
                <w:szCs w:val="20"/>
              </w:rPr>
              <w:t>0</w:t>
            </w:r>
          </w:p>
        </w:tc>
      </w:tr>
      <w:tr w14:paraId="0A258657">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60" w:hRule="atLeast"/>
          <w:jc w:val="center"/>
        </w:trPr>
        <w:tc>
          <w:tcPr>
            <w:tcW w:w="8580" w:type="dxa"/>
            <w:gridSpan w:val="4"/>
            <w:tcBorders>
              <w:top w:val="single" w:color="00000A" w:sz="8" w:space="0"/>
              <w:left w:val="single" w:color="00000A" w:sz="8" w:space="0"/>
              <w:bottom w:val="single" w:color="00000A" w:sz="8" w:space="0"/>
              <w:right w:val="single" w:color="000001" w:sz="8" w:space="0"/>
            </w:tcBorders>
            <w:shd w:val="clear" w:color="auto" w:fill="C6D9F1"/>
            <w:tcMar>
              <w:top w:w="0" w:type="dxa"/>
              <w:left w:w="115" w:type="dxa"/>
              <w:bottom w:w="0" w:type="dxa"/>
              <w:right w:w="115" w:type="dxa"/>
            </w:tcMar>
            <w:vAlign w:val="center"/>
          </w:tcPr>
          <w:p w14:paraId="59DE769E">
            <w:pPr>
              <w:widowControl/>
              <w:spacing w:line="560" w:lineRule="exact"/>
              <w:jc w:val="center"/>
              <w:rPr>
                <w:rFonts w:ascii="宋体" w:hAnsi="宋体" w:eastAsia="宋体" w:cs="宋体"/>
                <w:color w:val="auto"/>
                <w:kern w:val="0"/>
                <w:sz w:val="20"/>
                <w:szCs w:val="20"/>
              </w:rPr>
            </w:pPr>
            <w:r>
              <w:rPr>
                <w:rFonts w:hint="eastAsia" w:ascii="黑体" w:hAnsi="黑体" w:eastAsia="黑体" w:cs="宋体"/>
                <w:color w:val="auto"/>
                <w:kern w:val="0"/>
                <w:sz w:val="20"/>
                <w:szCs w:val="20"/>
              </w:rPr>
              <w:t>第二十条第（六）项</w:t>
            </w:r>
          </w:p>
        </w:tc>
      </w:tr>
      <w:tr w14:paraId="69EB6520">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60" w:hRule="atLeast"/>
          <w:jc w:val="center"/>
        </w:trPr>
        <w:tc>
          <w:tcPr>
            <w:tcW w:w="1980" w:type="dxa"/>
            <w:tcBorders>
              <w:top w:val="nil"/>
              <w:left w:val="single" w:color="00000A" w:sz="8" w:space="0"/>
              <w:bottom w:val="single" w:color="00000A" w:sz="8" w:space="0"/>
              <w:right w:val="single" w:color="00000A" w:sz="8" w:space="0"/>
            </w:tcBorders>
            <w:shd w:val="clear" w:color="auto" w:fill="FFFFFF"/>
            <w:tcMar>
              <w:top w:w="0" w:type="dxa"/>
              <w:left w:w="115" w:type="dxa"/>
              <w:bottom w:w="0" w:type="dxa"/>
              <w:right w:w="115" w:type="dxa"/>
            </w:tcMar>
            <w:vAlign w:val="center"/>
          </w:tcPr>
          <w:p w14:paraId="2EEE1A6D">
            <w:pPr>
              <w:widowControl/>
              <w:spacing w:line="560" w:lineRule="exact"/>
              <w:jc w:val="center"/>
              <w:rPr>
                <w:rFonts w:ascii="宋体" w:hAnsi="宋体" w:eastAsia="宋体" w:cs="宋体"/>
                <w:color w:val="auto"/>
                <w:kern w:val="0"/>
                <w:sz w:val="20"/>
                <w:szCs w:val="20"/>
              </w:rPr>
            </w:pPr>
            <w:r>
              <w:rPr>
                <w:rFonts w:hint="eastAsia" w:ascii="仿宋_GB2312" w:hAnsi="宋体" w:eastAsia="仿宋_GB2312" w:cs="宋体"/>
                <w:color w:val="auto"/>
                <w:kern w:val="0"/>
                <w:sz w:val="20"/>
                <w:szCs w:val="20"/>
              </w:rPr>
              <w:t>信息内容</w:t>
            </w:r>
          </w:p>
        </w:tc>
        <w:tc>
          <w:tcPr>
            <w:tcW w:w="6390" w:type="dxa"/>
            <w:gridSpan w:val="3"/>
            <w:tcBorders>
              <w:top w:val="single" w:color="00000A" w:sz="8" w:space="0"/>
              <w:left w:val="nil"/>
              <w:bottom w:val="single" w:color="00000A" w:sz="8" w:space="0"/>
              <w:right w:val="single" w:color="000001" w:sz="8" w:space="0"/>
            </w:tcBorders>
            <w:shd w:val="clear" w:color="auto" w:fill="FFFFFF"/>
            <w:tcMar>
              <w:top w:w="0" w:type="dxa"/>
              <w:left w:w="0" w:type="dxa"/>
              <w:bottom w:w="0" w:type="dxa"/>
              <w:right w:w="115" w:type="dxa"/>
            </w:tcMar>
            <w:vAlign w:val="center"/>
          </w:tcPr>
          <w:p w14:paraId="5257495E">
            <w:pPr>
              <w:widowControl/>
              <w:spacing w:line="560" w:lineRule="exact"/>
              <w:jc w:val="center"/>
              <w:rPr>
                <w:rFonts w:ascii="宋体" w:hAnsi="宋体" w:eastAsia="宋体" w:cs="宋体"/>
                <w:color w:val="auto"/>
                <w:kern w:val="0"/>
                <w:sz w:val="20"/>
                <w:szCs w:val="20"/>
              </w:rPr>
            </w:pPr>
            <w:r>
              <w:rPr>
                <w:rFonts w:hint="eastAsia" w:ascii="仿宋_GB2312" w:hAnsi="宋体" w:eastAsia="仿宋_GB2312" w:cs="宋体"/>
                <w:color w:val="auto"/>
                <w:kern w:val="0"/>
                <w:sz w:val="20"/>
                <w:szCs w:val="20"/>
              </w:rPr>
              <w:t>本年处理决定数量</w:t>
            </w:r>
          </w:p>
        </w:tc>
      </w:tr>
      <w:tr w14:paraId="34153743">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60" w:hRule="atLeast"/>
          <w:jc w:val="center"/>
        </w:trPr>
        <w:tc>
          <w:tcPr>
            <w:tcW w:w="1980" w:type="dxa"/>
            <w:tcBorders>
              <w:top w:val="nil"/>
              <w:left w:val="single" w:color="00000A" w:sz="8" w:space="0"/>
              <w:bottom w:val="single" w:color="00000A" w:sz="8" w:space="0"/>
              <w:right w:val="single" w:color="00000A" w:sz="8" w:space="0"/>
            </w:tcBorders>
            <w:shd w:val="clear" w:color="auto" w:fill="FFFFFF"/>
            <w:tcMar>
              <w:top w:w="0" w:type="dxa"/>
              <w:left w:w="115" w:type="dxa"/>
              <w:bottom w:w="0" w:type="dxa"/>
              <w:right w:w="115" w:type="dxa"/>
            </w:tcMar>
            <w:vAlign w:val="center"/>
          </w:tcPr>
          <w:p w14:paraId="42DEBE06">
            <w:pPr>
              <w:widowControl/>
              <w:spacing w:line="560" w:lineRule="exact"/>
              <w:jc w:val="left"/>
              <w:rPr>
                <w:rFonts w:ascii="宋体" w:hAnsi="宋体" w:eastAsia="宋体" w:cs="宋体"/>
                <w:color w:val="auto"/>
                <w:kern w:val="0"/>
                <w:sz w:val="20"/>
                <w:szCs w:val="20"/>
              </w:rPr>
            </w:pPr>
            <w:r>
              <w:rPr>
                <w:rFonts w:hint="eastAsia" w:ascii="仿宋_GB2312" w:hAnsi="宋体" w:eastAsia="仿宋_GB2312" w:cs="宋体"/>
                <w:color w:val="auto"/>
                <w:kern w:val="0"/>
                <w:sz w:val="20"/>
                <w:szCs w:val="20"/>
              </w:rPr>
              <w:t>行政处罚</w:t>
            </w:r>
          </w:p>
        </w:tc>
        <w:tc>
          <w:tcPr>
            <w:tcW w:w="6390" w:type="dxa"/>
            <w:gridSpan w:val="3"/>
            <w:tcBorders>
              <w:top w:val="single" w:color="00000A" w:sz="8" w:space="0"/>
              <w:left w:val="nil"/>
              <w:bottom w:val="single" w:color="00000A" w:sz="8" w:space="0"/>
              <w:right w:val="single" w:color="000001" w:sz="8" w:space="0"/>
            </w:tcBorders>
            <w:shd w:val="clear" w:color="auto" w:fill="FFFFFF"/>
            <w:tcMar>
              <w:top w:w="0" w:type="dxa"/>
              <w:left w:w="0" w:type="dxa"/>
              <w:bottom w:w="0" w:type="dxa"/>
              <w:right w:w="115" w:type="dxa"/>
            </w:tcMar>
            <w:vAlign w:val="center"/>
          </w:tcPr>
          <w:p w14:paraId="75962174">
            <w:pPr>
              <w:widowControl/>
              <w:spacing w:line="560" w:lineRule="exact"/>
              <w:jc w:val="center"/>
              <w:rPr>
                <w:rFonts w:hint="default" w:ascii="宋体"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w:t>
            </w:r>
          </w:p>
        </w:tc>
      </w:tr>
      <w:tr w14:paraId="637C27F2">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60" w:hRule="atLeast"/>
          <w:jc w:val="center"/>
        </w:trPr>
        <w:tc>
          <w:tcPr>
            <w:tcW w:w="1980" w:type="dxa"/>
            <w:tcBorders>
              <w:top w:val="nil"/>
              <w:left w:val="single" w:color="00000A" w:sz="8" w:space="0"/>
              <w:bottom w:val="single" w:color="00000A" w:sz="8" w:space="0"/>
              <w:right w:val="single" w:color="00000A" w:sz="8" w:space="0"/>
            </w:tcBorders>
            <w:shd w:val="clear" w:color="auto" w:fill="FFFFFF"/>
            <w:tcMar>
              <w:top w:w="0" w:type="dxa"/>
              <w:left w:w="115" w:type="dxa"/>
              <w:bottom w:w="0" w:type="dxa"/>
              <w:right w:w="115" w:type="dxa"/>
            </w:tcMar>
            <w:vAlign w:val="center"/>
          </w:tcPr>
          <w:p w14:paraId="11A83A65">
            <w:pPr>
              <w:widowControl/>
              <w:spacing w:line="560" w:lineRule="exact"/>
              <w:jc w:val="left"/>
              <w:rPr>
                <w:rFonts w:ascii="宋体" w:hAnsi="宋体" w:eastAsia="宋体" w:cs="宋体"/>
                <w:color w:val="auto"/>
                <w:kern w:val="0"/>
                <w:sz w:val="20"/>
                <w:szCs w:val="20"/>
              </w:rPr>
            </w:pPr>
            <w:r>
              <w:rPr>
                <w:rFonts w:hint="eastAsia" w:ascii="仿宋_GB2312" w:hAnsi="宋体" w:eastAsia="仿宋_GB2312" w:cs="宋体"/>
                <w:color w:val="auto"/>
                <w:kern w:val="0"/>
                <w:sz w:val="20"/>
                <w:szCs w:val="20"/>
              </w:rPr>
              <w:t>行政强制</w:t>
            </w:r>
          </w:p>
        </w:tc>
        <w:tc>
          <w:tcPr>
            <w:tcW w:w="6390" w:type="dxa"/>
            <w:gridSpan w:val="3"/>
            <w:tcBorders>
              <w:top w:val="single" w:color="00000A" w:sz="8" w:space="0"/>
              <w:left w:val="nil"/>
              <w:bottom w:val="single" w:color="00000A" w:sz="8" w:space="0"/>
              <w:right w:val="single" w:color="000001" w:sz="8" w:space="0"/>
            </w:tcBorders>
            <w:shd w:val="clear" w:color="auto" w:fill="FFFFFF"/>
            <w:tcMar>
              <w:top w:w="0" w:type="dxa"/>
              <w:left w:w="0" w:type="dxa"/>
              <w:bottom w:w="0" w:type="dxa"/>
              <w:right w:w="115" w:type="dxa"/>
            </w:tcMar>
            <w:vAlign w:val="center"/>
          </w:tcPr>
          <w:p w14:paraId="4C2CCFE9">
            <w:pPr>
              <w:widowControl/>
              <w:spacing w:line="560" w:lineRule="exact"/>
              <w:jc w:val="center"/>
              <w:rPr>
                <w:rFonts w:ascii="宋体" w:hAnsi="宋体" w:eastAsia="宋体" w:cs="宋体"/>
                <w:color w:val="auto"/>
                <w:kern w:val="0"/>
                <w:sz w:val="20"/>
                <w:szCs w:val="20"/>
              </w:rPr>
            </w:pPr>
            <w:r>
              <w:rPr>
                <w:rFonts w:hint="eastAsia" w:ascii="仿宋_GB2312" w:hAnsi="Calibri" w:eastAsia="仿宋_GB2312" w:cs="宋体"/>
                <w:color w:val="auto"/>
                <w:kern w:val="0"/>
                <w:sz w:val="20"/>
                <w:szCs w:val="20"/>
              </w:rPr>
              <w:t>0</w:t>
            </w:r>
          </w:p>
        </w:tc>
      </w:tr>
      <w:tr w14:paraId="793CBF64">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60" w:hRule="atLeast"/>
          <w:jc w:val="center"/>
        </w:trPr>
        <w:tc>
          <w:tcPr>
            <w:tcW w:w="8580" w:type="dxa"/>
            <w:gridSpan w:val="4"/>
            <w:tcBorders>
              <w:top w:val="single" w:color="00000A" w:sz="8" w:space="0"/>
              <w:left w:val="single" w:color="00000A" w:sz="8" w:space="0"/>
              <w:bottom w:val="single" w:color="00000A" w:sz="8" w:space="0"/>
              <w:right w:val="single" w:color="000001" w:sz="8" w:space="0"/>
            </w:tcBorders>
            <w:shd w:val="clear" w:color="auto" w:fill="C6D9F1"/>
            <w:tcMar>
              <w:top w:w="0" w:type="dxa"/>
              <w:left w:w="115" w:type="dxa"/>
              <w:bottom w:w="0" w:type="dxa"/>
              <w:right w:w="115" w:type="dxa"/>
            </w:tcMar>
            <w:vAlign w:val="center"/>
          </w:tcPr>
          <w:p w14:paraId="688E5522">
            <w:pPr>
              <w:widowControl/>
              <w:spacing w:line="560" w:lineRule="exact"/>
              <w:jc w:val="center"/>
              <w:rPr>
                <w:rFonts w:ascii="宋体" w:hAnsi="宋体" w:eastAsia="宋体" w:cs="宋体"/>
                <w:color w:val="auto"/>
                <w:kern w:val="0"/>
                <w:sz w:val="20"/>
                <w:szCs w:val="20"/>
              </w:rPr>
            </w:pPr>
            <w:r>
              <w:rPr>
                <w:rFonts w:hint="eastAsia" w:ascii="黑体" w:hAnsi="黑体" w:eastAsia="黑体" w:cs="宋体"/>
                <w:color w:val="auto"/>
                <w:kern w:val="0"/>
                <w:sz w:val="20"/>
                <w:szCs w:val="20"/>
              </w:rPr>
              <w:t>第二十条第（八）项</w:t>
            </w:r>
          </w:p>
        </w:tc>
      </w:tr>
      <w:tr w14:paraId="62AD2536">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60" w:hRule="atLeast"/>
          <w:jc w:val="center"/>
        </w:trPr>
        <w:tc>
          <w:tcPr>
            <w:tcW w:w="1980" w:type="dxa"/>
            <w:tcBorders>
              <w:top w:val="nil"/>
              <w:left w:val="single" w:color="00000A" w:sz="8" w:space="0"/>
              <w:bottom w:val="single" w:color="00000A" w:sz="6" w:space="0"/>
              <w:right w:val="single" w:color="00000A" w:sz="8" w:space="0"/>
            </w:tcBorders>
            <w:shd w:val="clear" w:color="auto" w:fill="FFFFFF"/>
            <w:tcMar>
              <w:top w:w="0" w:type="dxa"/>
              <w:left w:w="115" w:type="dxa"/>
              <w:bottom w:w="0" w:type="dxa"/>
              <w:right w:w="115" w:type="dxa"/>
            </w:tcMar>
            <w:vAlign w:val="center"/>
          </w:tcPr>
          <w:p w14:paraId="378E4A1C">
            <w:pPr>
              <w:widowControl/>
              <w:spacing w:line="560" w:lineRule="exact"/>
              <w:jc w:val="center"/>
              <w:rPr>
                <w:rFonts w:ascii="宋体" w:hAnsi="宋体" w:eastAsia="宋体" w:cs="宋体"/>
                <w:color w:val="auto"/>
                <w:kern w:val="0"/>
                <w:sz w:val="20"/>
                <w:szCs w:val="20"/>
              </w:rPr>
            </w:pPr>
            <w:r>
              <w:rPr>
                <w:rFonts w:hint="eastAsia" w:ascii="仿宋_GB2312" w:hAnsi="宋体" w:eastAsia="仿宋_GB2312" w:cs="宋体"/>
                <w:color w:val="auto"/>
                <w:kern w:val="0"/>
                <w:sz w:val="20"/>
                <w:szCs w:val="20"/>
              </w:rPr>
              <w:t>信息内容</w:t>
            </w:r>
          </w:p>
        </w:tc>
        <w:tc>
          <w:tcPr>
            <w:tcW w:w="6390" w:type="dxa"/>
            <w:gridSpan w:val="3"/>
            <w:tcBorders>
              <w:top w:val="single" w:color="00000A" w:sz="8" w:space="0"/>
              <w:left w:val="nil"/>
              <w:bottom w:val="single" w:color="00000A" w:sz="8" w:space="0"/>
              <w:right w:val="single" w:color="000001" w:sz="8" w:space="0"/>
            </w:tcBorders>
            <w:shd w:val="clear" w:color="auto" w:fill="FFFFFF"/>
            <w:tcMar>
              <w:top w:w="0" w:type="dxa"/>
              <w:left w:w="0" w:type="dxa"/>
              <w:bottom w:w="0" w:type="dxa"/>
              <w:right w:w="115" w:type="dxa"/>
            </w:tcMar>
            <w:vAlign w:val="center"/>
          </w:tcPr>
          <w:p w14:paraId="56A1107B">
            <w:pPr>
              <w:widowControl/>
              <w:spacing w:line="560" w:lineRule="exact"/>
              <w:jc w:val="center"/>
              <w:rPr>
                <w:rFonts w:ascii="宋体" w:hAnsi="宋体" w:eastAsia="宋体" w:cs="宋体"/>
                <w:color w:val="auto"/>
                <w:kern w:val="0"/>
                <w:sz w:val="20"/>
                <w:szCs w:val="20"/>
              </w:rPr>
            </w:pPr>
            <w:r>
              <w:rPr>
                <w:rFonts w:hint="eastAsia" w:ascii="仿宋_GB2312" w:hAnsi="宋体" w:eastAsia="仿宋_GB2312" w:cs="宋体"/>
                <w:color w:val="auto"/>
                <w:kern w:val="0"/>
                <w:sz w:val="20"/>
                <w:szCs w:val="20"/>
              </w:rPr>
              <w:t>本年收费金额（单位：万元）</w:t>
            </w:r>
          </w:p>
        </w:tc>
      </w:tr>
      <w:tr w14:paraId="434634B3">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45" w:hRule="atLeast"/>
          <w:jc w:val="center"/>
        </w:trPr>
        <w:tc>
          <w:tcPr>
            <w:tcW w:w="1980" w:type="dxa"/>
            <w:tcBorders>
              <w:top w:val="single" w:color="00000A" w:sz="6" w:space="0"/>
              <w:left w:val="single" w:color="00000A" w:sz="8" w:space="0"/>
              <w:bottom w:val="single" w:color="00000A" w:sz="8" w:space="0"/>
              <w:right w:val="single" w:color="00000A" w:sz="8" w:space="0"/>
            </w:tcBorders>
            <w:shd w:val="clear" w:color="auto" w:fill="FFFFFF"/>
            <w:tcMar>
              <w:top w:w="0" w:type="dxa"/>
              <w:left w:w="115" w:type="dxa"/>
              <w:bottom w:w="0" w:type="dxa"/>
              <w:right w:w="115" w:type="dxa"/>
            </w:tcMar>
            <w:vAlign w:val="center"/>
          </w:tcPr>
          <w:p w14:paraId="5C30E408">
            <w:pPr>
              <w:widowControl/>
              <w:spacing w:line="560" w:lineRule="exact"/>
              <w:jc w:val="left"/>
              <w:rPr>
                <w:rFonts w:ascii="宋体" w:hAnsi="宋体" w:eastAsia="宋体" w:cs="宋体"/>
                <w:color w:val="auto"/>
                <w:kern w:val="0"/>
                <w:sz w:val="20"/>
                <w:szCs w:val="20"/>
              </w:rPr>
            </w:pPr>
            <w:r>
              <w:rPr>
                <w:rFonts w:hint="eastAsia" w:ascii="仿宋_GB2312" w:hAnsi="宋体" w:eastAsia="仿宋_GB2312" w:cs="宋体"/>
                <w:color w:val="auto"/>
                <w:kern w:val="0"/>
                <w:sz w:val="20"/>
                <w:szCs w:val="20"/>
              </w:rPr>
              <w:t>行政事业性收费</w:t>
            </w:r>
          </w:p>
        </w:tc>
        <w:tc>
          <w:tcPr>
            <w:tcW w:w="6390" w:type="dxa"/>
            <w:gridSpan w:val="3"/>
            <w:tcBorders>
              <w:top w:val="single" w:color="00000A" w:sz="8" w:space="0"/>
              <w:left w:val="nil"/>
              <w:bottom w:val="single" w:color="00000A" w:sz="8" w:space="0"/>
              <w:right w:val="single" w:color="000001" w:sz="8" w:space="0"/>
            </w:tcBorders>
            <w:shd w:val="clear" w:color="auto" w:fill="FFFFFF"/>
            <w:tcMar>
              <w:top w:w="0" w:type="dxa"/>
              <w:left w:w="0" w:type="dxa"/>
              <w:bottom w:w="0" w:type="dxa"/>
              <w:right w:w="115" w:type="dxa"/>
            </w:tcMar>
            <w:vAlign w:val="center"/>
          </w:tcPr>
          <w:p w14:paraId="347E4F8D">
            <w:pPr>
              <w:widowControl/>
              <w:spacing w:line="560" w:lineRule="exact"/>
              <w:jc w:val="center"/>
              <w:rPr>
                <w:rFonts w:ascii="宋体" w:hAnsi="宋体" w:eastAsia="宋体" w:cs="宋体"/>
                <w:color w:val="auto"/>
                <w:kern w:val="0"/>
                <w:sz w:val="20"/>
                <w:szCs w:val="20"/>
              </w:rPr>
            </w:pPr>
            <w:r>
              <w:rPr>
                <w:rFonts w:hint="eastAsia" w:ascii="仿宋_GB2312" w:hAnsi="Calibri" w:eastAsia="仿宋_GB2312" w:cs="宋体"/>
                <w:color w:val="auto"/>
                <w:kern w:val="0"/>
                <w:sz w:val="20"/>
                <w:szCs w:val="20"/>
              </w:rPr>
              <w:t>0</w:t>
            </w:r>
          </w:p>
        </w:tc>
      </w:tr>
    </w:tbl>
    <w:p w14:paraId="45EC6D20">
      <w:pPr>
        <w:pStyle w:val="2"/>
        <w:widowControl/>
        <w:spacing w:before="0" w:beforeAutospacing="0" w:after="0" w:afterAutospacing="0" w:line="315" w:lineRule="atLeast"/>
        <w:ind w:firstLine="620" w:firstLineChars="200"/>
        <w:jc w:val="both"/>
        <w:rPr>
          <w:color w:val="auto"/>
        </w:rPr>
      </w:pPr>
      <w:r>
        <w:rPr>
          <w:rFonts w:hint="eastAsia" w:ascii="黑体" w:hAnsi="宋体" w:eastAsia="黑体" w:cs="黑体"/>
          <w:color w:val="auto"/>
          <w:sz w:val="31"/>
          <w:szCs w:val="31"/>
          <w:shd w:val="clear" w:color="auto" w:fill="FFFFFF"/>
        </w:rPr>
        <w:t>三、收到和处理政府信息公开申请情况</w:t>
      </w:r>
    </w:p>
    <w:tbl>
      <w:tblPr>
        <w:tblStyle w:val="3"/>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5"/>
        <w:gridCol w:w="1699"/>
        <w:gridCol w:w="2973"/>
        <w:gridCol w:w="752"/>
        <w:gridCol w:w="540"/>
        <w:gridCol w:w="540"/>
        <w:gridCol w:w="720"/>
        <w:gridCol w:w="675"/>
        <w:gridCol w:w="526"/>
        <w:gridCol w:w="701"/>
      </w:tblGrid>
      <w:tr w14:paraId="64F98C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87" w:type="dxa"/>
            <w:gridSpan w:val="3"/>
            <w:vMerge w:val="restart"/>
            <w:shd w:val="clear" w:color="auto" w:fill="auto"/>
            <w:tcMar>
              <w:left w:w="108" w:type="dxa"/>
              <w:right w:w="108" w:type="dxa"/>
            </w:tcMar>
            <w:vAlign w:val="center"/>
          </w:tcPr>
          <w:p w14:paraId="23AED80B">
            <w:pPr>
              <w:widowControl/>
              <w:jc w:val="center"/>
              <w:rPr>
                <w:rFonts w:ascii="楷体_GB2312" w:hAnsi="黑体" w:eastAsia="楷体_GB2312"/>
                <w:color w:val="auto"/>
                <w:kern w:val="0"/>
                <w:szCs w:val="21"/>
              </w:rPr>
            </w:pPr>
            <w:r>
              <w:rPr>
                <w:rFonts w:hint="eastAsia" w:ascii="楷体_GB2312" w:hAnsi="黑体" w:eastAsia="楷体_GB2312"/>
                <w:color w:val="auto"/>
                <w:kern w:val="0"/>
                <w:szCs w:val="21"/>
              </w:rPr>
              <w:t>（本列数据的勾稽关系为：第一项加第二项之和，</w:t>
            </w:r>
          </w:p>
          <w:p w14:paraId="5351DCB4">
            <w:pPr>
              <w:widowControl/>
              <w:jc w:val="center"/>
              <w:rPr>
                <w:rFonts w:ascii="仿宋_GB2312" w:eastAsia="仿宋_GB2312"/>
                <w:color w:val="auto"/>
                <w:szCs w:val="21"/>
              </w:rPr>
            </w:pPr>
            <w:r>
              <w:rPr>
                <w:rFonts w:hint="eastAsia" w:ascii="楷体_GB2312" w:hAnsi="黑体" w:eastAsia="楷体_GB2312"/>
                <w:color w:val="auto"/>
                <w:kern w:val="0"/>
                <w:szCs w:val="21"/>
              </w:rPr>
              <w:t>等于第三项加第四项之和）</w:t>
            </w:r>
          </w:p>
        </w:tc>
        <w:tc>
          <w:tcPr>
            <w:tcW w:w="4454" w:type="dxa"/>
            <w:gridSpan w:val="7"/>
            <w:shd w:val="clear" w:color="auto" w:fill="auto"/>
            <w:tcMar>
              <w:left w:w="108" w:type="dxa"/>
              <w:right w:w="108" w:type="dxa"/>
            </w:tcMar>
            <w:vAlign w:val="center"/>
          </w:tcPr>
          <w:p w14:paraId="789108D9">
            <w:pPr>
              <w:widowControl/>
              <w:spacing w:line="320" w:lineRule="exact"/>
              <w:jc w:val="center"/>
              <w:rPr>
                <w:rFonts w:ascii="黑体" w:hAnsi="黑体" w:eastAsia="黑体"/>
                <w:color w:val="auto"/>
                <w:szCs w:val="21"/>
              </w:rPr>
            </w:pPr>
            <w:r>
              <w:rPr>
                <w:rFonts w:hint="eastAsia" w:ascii="黑体" w:hAnsi="黑体" w:eastAsia="黑体"/>
                <w:color w:val="auto"/>
                <w:kern w:val="0"/>
                <w:szCs w:val="21"/>
              </w:rPr>
              <w:t>申请人情况</w:t>
            </w:r>
          </w:p>
        </w:tc>
      </w:tr>
      <w:tr w14:paraId="39542D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87" w:type="dxa"/>
            <w:gridSpan w:val="3"/>
            <w:vMerge w:val="continue"/>
            <w:shd w:val="clear" w:color="auto" w:fill="auto"/>
            <w:tcMar>
              <w:left w:w="108" w:type="dxa"/>
              <w:right w:w="108" w:type="dxa"/>
            </w:tcMar>
            <w:vAlign w:val="center"/>
          </w:tcPr>
          <w:p w14:paraId="018552F1">
            <w:pPr>
              <w:jc w:val="center"/>
              <w:rPr>
                <w:rFonts w:ascii="仿宋_GB2312" w:eastAsia="仿宋_GB2312"/>
                <w:color w:val="auto"/>
                <w:szCs w:val="21"/>
              </w:rPr>
            </w:pPr>
          </w:p>
        </w:tc>
        <w:tc>
          <w:tcPr>
            <w:tcW w:w="752" w:type="dxa"/>
            <w:vMerge w:val="restart"/>
            <w:shd w:val="clear" w:color="auto" w:fill="auto"/>
            <w:tcMar>
              <w:left w:w="108" w:type="dxa"/>
              <w:right w:w="108" w:type="dxa"/>
            </w:tcMar>
            <w:vAlign w:val="center"/>
          </w:tcPr>
          <w:p w14:paraId="799B209C">
            <w:pPr>
              <w:widowControl/>
              <w:jc w:val="center"/>
              <w:rPr>
                <w:rFonts w:ascii="黑体" w:hAnsi="黑体" w:eastAsia="黑体"/>
                <w:color w:val="auto"/>
                <w:szCs w:val="21"/>
              </w:rPr>
            </w:pPr>
            <w:r>
              <w:rPr>
                <w:rFonts w:hint="eastAsia" w:ascii="黑体" w:hAnsi="黑体" w:eastAsia="黑体"/>
                <w:color w:val="auto"/>
                <w:kern w:val="0"/>
                <w:szCs w:val="21"/>
              </w:rPr>
              <w:t>自然人</w:t>
            </w:r>
          </w:p>
        </w:tc>
        <w:tc>
          <w:tcPr>
            <w:tcW w:w="3001" w:type="dxa"/>
            <w:gridSpan w:val="5"/>
            <w:shd w:val="clear" w:color="auto" w:fill="auto"/>
            <w:tcMar>
              <w:left w:w="108" w:type="dxa"/>
              <w:right w:w="108" w:type="dxa"/>
            </w:tcMar>
            <w:vAlign w:val="center"/>
          </w:tcPr>
          <w:p w14:paraId="374A1137">
            <w:pPr>
              <w:widowControl/>
              <w:spacing w:line="320" w:lineRule="exact"/>
              <w:jc w:val="center"/>
              <w:rPr>
                <w:rFonts w:ascii="黑体" w:hAnsi="黑体" w:eastAsia="黑体"/>
                <w:color w:val="auto"/>
                <w:szCs w:val="21"/>
              </w:rPr>
            </w:pPr>
            <w:r>
              <w:rPr>
                <w:rFonts w:hint="eastAsia" w:ascii="黑体" w:hAnsi="黑体" w:eastAsia="黑体"/>
                <w:color w:val="auto"/>
                <w:kern w:val="0"/>
                <w:szCs w:val="21"/>
              </w:rPr>
              <w:t>法人或其他组织</w:t>
            </w:r>
          </w:p>
        </w:tc>
        <w:tc>
          <w:tcPr>
            <w:tcW w:w="701" w:type="dxa"/>
            <w:vMerge w:val="restart"/>
            <w:shd w:val="clear" w:color="auto" w:fill="auto"/>
            <w:tcMar>
              <w:left w:w="108" w:type="dxa"/>
              <w:right w:w="108" w:type="dxa"/>
            </w:tcMar>
            <w:vAlign w:val="center"/>
          </w:tcPr>
          <w:p w14:paraId="4F3809F2">
            <w:pPr>
              <w:widowControl/>
              <w:jc w:val="center"/>
              <w:rPr>
                <w:rFonts w:ascii="黑体" w:hAnsi="黑体" w:eastAsia="黑体"/>
                <w:color w:val="auto"/>
                <w:szCs w:val="21"/>
              </w:rPr>
            </w:pPr>
            <w:r>
              <w:rPr>
                <w:rFonts w:hint="eastAsia" w:ascii="黑体" w:hAnsi="黑体" w:eastAsia="黑体"/>
                <w:color w:val="auto"/>
                <w:kern w:val="0"/>
                <w:szCs w:val="21"/>
              </w:rPr>
              <w:t>总计</w:t>
            </w:r>
          </w:p>
        </w:tc>
      </w:tr>
      <w:tr w14:paraId="69219A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87" w:type="dxa"/>
            <w:gridSpan w:val="3"/>
            <w:vMerge w:val="continue"/>
            <w:shd w:val="clear" w:color="auto" w:fill="auto"/>
            <w:tcMar>
              <w:left w:w="108" w:type="dxa"/>
              <w:right w:w="108" w:type="dxa"/>
            </w:tcMar>
            <w:vAlign w:val="center"/>
          </w:tcPr>
          <w:p w14:paraId="7E6C9CBF">
            <w:pPr>
              <w:jc w:val="center"/>
              <w:rPr>
                <w:rFonts w:ascii="仿宋_GB2312" w:eastAsia="仿宋_GB2312"/>
                <w:color w:val="auto"/>
                <w:szCs w:val="21"/>
              </w:rPr>
            </w:pPr>
          </w:p>
        </w:tc>
        <w:tc>
          <w:tcPr>
            <w:tcW w:w="752" w:type="dxa"/>
            <w:vMerge w:val="continue"/>
            <w:shd w:val="clear" w:color="auto" w:fill="auto"/>
            <w:tcMar>
              <w:left w:w="108" w:type="dxa"/>
              <w:right w:w="108" w:type="dxa"/>
            </w:tcMar>
            <w:vAlign w:val="center"/>
          </w:tcPr>
          <w:p w14:paraId="3F8E07CD">
            <w:pPr>
              <w:jc w:val="center"/>
              <w:rPr>
                <w:rFonts w:ascii="黑体" w:hAnsi="黑体" w:eastAsia="黑体"/>
                <w:color w:val="auto"/>
                <w:szCs w:val="21"/>
              </w:rPr>
            </w:pPr>
          </w:p>
        </w:tc>
        <w:tc>
          <w:tcPr>
            <w:tcW w:w="540" w:type="dxa"/>
            <w:shd w:val="clear" w:color="auto" w:fill="auto"/>
            <w:tcMar>
              <w:left w:w="108" w:type="dxa"/>
              <w:right w:w="108" w:type="dxa"/>
            </w:tcMar>
            <w:vAlign w:val="center"/>
          </w:tcPr>
          <w:p w14:paraId="1CB815FD">
            <w:pPr>
              <w:widowControl/>
              <w:spacing w:line="320" w:lineRule="exact"/>
              <w:ind w:left="-106" w:leftChars="-51" w:right="-107" w:rightChars="-51" w:hanging="1"/>
              <w:jc w:val="center"/>
              <w:rPr>
                <w:rFonts w:ascii="黑体" w:hAnsi="黑体" w:eastAsia="黑体"/>
                <w:color w:val="auto"/>
                <w:szCs w:val="21"/>
              </w:rPr>
            </w:pPr>
            <w:r>
              <w:rPr>
                <w:rFonts w:hint="eastAsia" w:ascii="黑体" w:hAnsi="黑体" w:eastAsia="黑体"/>
                <w:color w:val="auto"/>
                <w:kern w:val="0"/>
                <w:szCs w:val="21"/>
              </w:rPr>
              <w:t>商业企业</w:t>
            </w:r>
          </w:p>
        </w:tc>
        <w:tc>
          <w:tcPr>
            <w:tcW w:w="540" w:type="dxa"/>
            <w:shd w:val="clear" w:color="auto" w:fill="auto"/>
            <w:tcMar>
              <w:left w:w="108" w:type="dxa"/>
              <w:right w:w="108" w:type="dxa"/>
            </w:tcMar>
            <w:vAlign w:val="center"/>
          </w:tcPr>
          <w:p w14:paraId="464615B9">
            <w:pPr>
              <w:widowControl/>
              <w:spacing w:line="320" w:lineRule="exact"/>
              <w:ind w:left="-107" w:leftChars="-51" w:right="-107" w:rightChars="-51"/>
              <w:jc w:val="center"/>
              <w:rPr>
                <w:rFonts w:ascii="黑体" w:hAnsi="黑体" w:eastAsia="黑体"/>
                <w:color w:val="auto"/>
                <w:szCs w:val="21"/>
              </w:rPr>
            </w:pPr>
            <w:r>
              <w:rPr>
                <w:rFonts w:hint="eastAsia" w:ascii="黑体" w:hAnsi="黑体" w:eastAsia="黑体"/>
                <w:color w:val="auto"/>
                <w:kern w:val="0"/>
                <w:szCs w:val="21"/>
              </w:rPr>
              <w:t>科研机构</w:t>
            </w:r>
          </w:p>
        </w:tc>
        <w:tc>
          <w:tcPr>
            <w:tcW w:w="720" w:type="dxa"/>
            <w:shd w:val="clear" w:color="auto" w:fill="auto"/>
            <w:tcMar>
              <w:left w:w="108" w:type="dxa"/>
              <w:right w:w="108" w:type="dxa"/>
            </w:tcMar>
            <w:vAlign w:val="center"/>
          </w:tcPr>
          <w:p w14:paraId="7BAE73D1">
            <w:pPr>
              <w:widowControl/>
              <w:spacing w:line="320" w:lineRule="exact"/>
              <w:ind w:left="-107" w:leftChars="-51" w:right="-107" w:rightChars="-51"/>
              <w:jc w:val="center"/>
              <w:rPr>
                <w:rFonts w:ascii="黑体" w:hAnsi="黑体" w:eastAsia="黑体"/>
                <w:color w:val="auto"/>
                <w:szCs w:val="21"/>
              </w:rPr>
            </w:pPr>
            <w:r>
              <w:rPr>
                <w:rFonts w:hint="eastAsia" w:ascii="黑体" w:hAnsi="黑体" w:eastAsia="黑体"/>
                <w:color w:val="auto"/>
                <w:kern w:val="0"/>
                <w:szCs w:val="21"/>
              </w:rPr>
              <w:t>社会公益组织</w:t>
            </w:r>
          </w:p>
        </w:tc>
        <w:tc>
          <w:tcPr>
            <w:tcW w:w="675" w:type="dxa"/>
            <w:shd w:val="clear" w:color="auto" w:fill="auto"/>
            <w:tcMar>
              <w:left w:w="108" w:type="dxa"/>
              <w:right w:w="108" w:type="dxa"/>
            </w:tcMar>
            <w:vAlign w:val="center"/>
          </w:tcPr>
          <w:p w14:paraId="290E6CD4">
            <w:pPr>
              <w:widowControl/>
              <w:spacing w:line="320" w:lineRule="exact"/>
              <w:ind w:left="-106" w:leftChars="-51" w:right="-107" w:rightChars="-51" w:hanging="1"/>
              <w:jc w:val="center"/>
              <w:rPr>
                <w:rFonts w:ascii="黑体" w:hAnsi="黑体" w:eastAsia="黑体"/>
                <w:color w:val="auto"/>
                <w:szCs w:val="21"/>
              </w:rPr>
            </w:pPr>
            <w:r>
              <w:rPr>
                <w:rFonts w:hint="eastAsia" w:ascii="黑体" w:hAnsi="黑体" w:eastAsia="黑体"/>
                <w:color w:val="auto"/>
                <w:kern w:val="0"/>
                <w:szCs w:val="21"/>
              </w:rPr>
              <w:t>法律服务机构</w:t>
            </w:r>
          </w:p>
        </w:tc>
        <w:tc>
          <w:tcPr>
            <w:tcW w:w="526" w:type="dxa"/>
            <w:shd w:val="clear" w:color="auto" w:fill="auto"/>
            <w:tcMar>
              <w:left w:w="108" w:type="dxa"/>
              <w:right w:w="108" w:type="dxa"/>
            </w:tcMar>
            <w:vAlign w:val="center"/>
          </w:tcPr>
          <w:p w14:paraId="37F5D278">
            <w:pPr>
              <w:widowControl/>
              <w:spacing w:line="360" w:lineRule="exact"/>
              <w:ind w:left="-63" w:leftChars="-30" w:right="-134" w:rightChars="-64"/>
              <w:jc w:val="center"/>
              <w:rPr>
                <w:rFonts w:ascii="黑体" w:hAnsi="黑体" w:eastAsia="黑体"/>
                <w:color w:val="auto"/>
                <w:szCs w:val="21"/>
              </w:rPr>
            </w:pPr>
            <w:r>
              <w:rPr>
                <w:rFonts w:hint="eastAsia" w:ascii="黑体" w:hAnsi="黑体" w:eastAsia="黑体"/>
                <w:color w:val="auto"/>
                <w:kern w:val="0"/>
                <w:szCs w:val="21"/>
              </w:rPr>
              <w:t>其他</w:t>
            </w:r>
          </w:p>
        </w:tc>
        <w:tc>
          <w:tcPr>
            <w:tcW w:w="701" w:type="dxa"/>
            <w:vMerge w:val="continue"/>
            <w:shd w:val="clear" w:color="auto" w:fill="auto"/>
            <w:tcMar>
              <w:left w:w="108" w:type="dxa"/>
              <w:right w:w="108" w:type="dxa"/>
            </w:tcMar>
            <w:vAlign w:val="center"/>
          </w:tcPr>
          <w:p w14:paraId="44498161">
            <w:pPr>
              <w:jc w:val="center"/>
              <w:rPr>
                <w:rFonts w:ascii="仿宋_GB2312" w:eastAsia="仿宋_GB2312"/>
                <w:color w:val="auto"/>
                <w:szCs w:val="21"/>
              </w:rPr>
            </w:pPr>
          </w:p>
        </w:tc>
      </w:tr>
      <w:tr w14:paraId="480332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87" w:type="dxa"/>
            <w:gridSpan w:val="3"/>
            <w:shd w:val="clear" w:color="auto" w:fill="auto"/>
            <w:tcMar>
              <w:left w:w="108" w:type="dxa"/>
              <w:right w:w="108" w:type="dxa"/>
            </w:tcMar>
            <w:vAlign w:val="center"/>
          </w:tcPr>
          <w:p w14:paraId="7D51495B">
            <w:pPr>
              <w:widowControl/>
              <w:rPr>
                <w:rFonts w:ascii="黑体" w:hAnsi="黑体" w:eastAsia="黑体"/>
                <w:color w:val="auto"/>
                <w:szCs w:val="21"/>
              </w:rPr>
            </w:pPr>
            <w:r>
              <w:rPr>
                <w:rFonts w:hint="eastAsia" w:ascii="黑体" w:hAnsi="黑体" w:eastAsia="黑体"/>
                <w:color w:val="auto"/>
                <w:kern w:val="0"/>
                <w:szCs w:val="21"/>
              </w:rPr>
              <w:t>一、</w:t>
            </w:r>
            <w:bookmarkStart w:id="0" w:name="_Hlk66973412"/>
            <w:r>
              <w:rPr>
                <w:rFonts w:hint="eastAsia" w:ascii="黑体" w:hAnsi="黑体" w:eastAsia="黑体"/>
                <w:color w:val="auto"/>
                <w:kern w:val="0"/>
                <w:szCs w:val="21"/>
              </w:rPr>
              <w:t>本年新收政府信息公开申请数量</w:t>
            </w:r>
            <w:bookmarkEnd w:id="0"/>
          </w:p>
        </w:tc>
        <w:tc>
          <w:tcPr>
            <w:tcW w:w="752" w:type="dxa"/>
            <w:shd w:val="clear" w:color="auto" w:fill="auto"/>
            <w:tcMar>
              <w:left w:w="108" w:type="dxa"/>
              <w:right w:w="108" w:type="dxa"/>
            </w:tcMar>
            <w:vAlign w:val="center"/>
          </w:tcPr>
          <w:p w14:paraId="19DF5963">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434A3D39">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442CF0B0">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0C9E1FA9">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51C075CB">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6" w:type="dxa"/>
            <w:shd w:val="clear" w:color="auto" w:fill="auto"/>
            <w:tcMar>
              <w:left w:w="108" w:type="dxa"/>
              <w:right w:w="108" w:type="dxa"/>
            </w:tcMar>
            <w:vAlign w:val="center"/>
          </w:tcPr>
          <w:p w14:paraId="6C85995A">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70FE9964">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1E7EAD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87" w:type="dxa"/>
            <w:gridSpan w:val="3"/>
            <w:shd w:val="clear" w:color="auto" w:fill="auto"/>
            <w:tcMar>
              <w:left w:w="108" w:type="dxa"/>
              <w:right w:w="108" w:type="dxa"/>
            </w:tcMar>
            <w:vAlign w:val="center"/>
          </w:tcPr>
          <w:p w14:paraId="13732679">
            <w:pPr>
              <w:widowControl/>
              <w:rPr>
                <w:rFonts w:ascii="黑体" w:hAnsi="黑体" w:eastAsia="黑体"/>
                <w:color w:val="auto"/>
                <w:szCs w:val="21"/>
              </w:rPr>
            </w:pPr>
            <w:r>
              <w:rPr>
                <w:rFonts w:hint="eastAsia" w:ascii="黑体" w:hAnsi="黑体" w:eastAsia="黑体"/>
                <w:color w:val="auto"/>
                <w:kern w:val="0"/>
                <w:szCs w:val="21"/>
              </w:rPr>
              <w:t>二、上年结转政府信息公开申请数量</w:t>
            </w:r>
          </w:p>
        </w:tc>
        <w:tc>
          <w:tcPr>
            <w:tcW w:w="752" w:type="dxa"/>
            <w:shd w:val="clear" w:color="auto" w:fill="auto"/>
            <w:tcMar>
              <w:left w:w="108" w:type="dxa"/>
              <w:right w:w="108" w:type="dxa"/>
            </w:tcMar>
            <w:vAlign w:val="center"/>
          </w:tcPr>
          <w:p w14:paraId="305E3997">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3812BD8D">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4868C3C0">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247449B8">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01396E65">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6" w:type="dxa"/>
            <w:shd w:val="clear" w:color="auto" w:fill="auto"/>
            <w:tcMar>
              <w:left w:w="108" w:type="dxa"/>
              <w:right w:w="108" w:type="dxa"/>
            </w:tcMar>
            <w:vAlign w:val="center"/>
          </w:tcPr>
          <w:p w14:paraId="0AE835DA">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6565D668">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183BB6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restart"/>
            <w:shd w:val="clear" w:color="auto" w:fill="auto"/>
            <w:tcMar>
              <w:left w:w="108" w:type="dxa"/>
              <w:right w:w="108" w:type="dxa"/>
            </w:tcMar>
            <w:vAlign w:val="center"/>
          </w:tcPr>
          <w:p w14:paraId="2E414C9F">
            <w:pPr>
              <w:widowControl/>
              <w:spacing w:after="180"/>
              <w:rPr>
                <w:rFonts w:ascii="黑体" w:hAnsi="黑体" w:eastAsia="黑体"/>
                <w:color w:val="auto"/>
                <w:szCs w:val="21"/>
              </w:rPr>
            </w:pPr>
            <w:r>
              <w:rPr>
                <w:rFonts w:hint="eastAsia" w:ascii="黑体" w:hAnsi="黑体" w:eastAsia="黑体"/>
                <w:color w:val="auto"/>
                <w:kern w:val="0"/>
                <w:szCs w:val="21"/>
              </w:rPr>
              <w:t>三、本年度办理结果</w:t>
            </w:r>
          </w:p>
        </w:tc>
        <w:tc>
          <w:tcPr>
            <w:tcW w:w="4672" w:type="dxa"/>
            <w:gridSpan w:val="2"/>
            <w:shd w:val="clear" w:color="auto" w:fill="auto"/>
            <w:tcMar>
              <w:left w:w="108" w:type="dxa"/>
              <w:right w:w="108" w:type="dxa"/>
            </w:tcMar>
            <w:vAlign w:val="center"/>
          </w:tcPr>
          <w:p w14:paraId="1F0C95AC">
            <w:pPr>
              <w:widowControl/>
              <w:rPr>
                <w:rFonts w:ascii="黑体" w:hAnsi="黑体" w:eastAsia="黑体"/>
                <w:color w:val="auto"/>
                <w:szCs w:val="21"/>
              </w:rPr>
            </w:pPr>
            <w:r>
              <w:rPr>
                <w:rFonts w:hint="eastAsia" w:ascii="黑体" w:hAnsi="黑体" w:eastAsia="黑体"/>
                <w:color w:val="auto"/>
                <w:kern w:val="0"/>
                <w:szCs w:val="21"/>
              </w:rPr>
              <w:t>（一）予以公开</w:t>
            </w:r>
          </w:p>
        </w:tc>
        <w:tc>
          <w:tcPr>
            <w:tcW w:w="752" w:type="dxa"/>
            <w:shd w:val="clear" w:color="auto" w:fill="auto"/>
            <w:tcMar>
              <w:left w:w="108" w:type="dxa"/>
              <w:right w:w="108" w:type="dxa"/>
            </w:tcMar>
            <w:vAlign w:val="center"/>
          </w:tcPr>
          <w:p w14:paraId="14DB6EB4">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29512613">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4FD91BE7">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14F753C5">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0B951978">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6" w:type="dxa"/>
            <w:shd w:val="clear" w:color="auto" w:fill="auto"/>
            <w:tcMar>
              <w:left w:w="108" w:type="dxa"/>
              <w:right w:w="108" w:type="dxa"/>
            </w:tcMar>
            <w:vAlign w:val="center"/>
          </w:tcPr>
          <w:p w14:paraId="026A7904">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1A658894">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065A2A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shd w:val="clear" w:color="auto" w:fill="auto"/>
            <w:tcMar>
              <w:left w:w="108" w:type="dxa"/>
              <w:right w:w="108" w:type="dxa"/>
            </w:tcMar>
            <w:vAlign w:val="center"/>
          </w:tcPr>
          <w:p w14:paraId="22DED501">
            <w:pPr>
              <w:rPr>
                <w:rFonts w:ascii="黑体" w:hAnsi="黑体" w:eastAsia="黑体"/>
                <w:color w:val="auto"/>
                <w:szCs w:val="21"/>
              </w:rPr>
            </w:pPr>
          </w:p>
        </w:tc>
        <w:tc>
          <w:tcPr>
            <w:tcW w:w="4672" w:type="dxa"/>
            <w:gridSpan w:val="2"/>
            <w:shd w:val="clear" w:color="auto" w:fill="auto"/>
            <w:tcMar>
              <w:left w:w="108" w:type="dxa"/>
              <w:right w:w="108" w:type="dxa"/>
            </w:tcMar>
            <w:vAlign w:val="center"/>
          </w:tcPr>
          <w:p w14:paraId="796A961A">
            <w:pPr>
              <w:widowControl/>
              <w:rPr>
                <w:rFonts w:ascii="黑体" w:hAnsi="黑体" w:eastAsia="黑体"/>
                <w:color w:val="auto"/>
                <w:szCs w:val="21"/>
              </w:rPr>
            </w:pPr>
            <w:r>
              <w:rPr>
                <w:rFonts w:hint="eastAsia" w:ascii="黑体" w:hAnsi="黑体" w:eastAsia="黑体"/>
                <w:color w:val="auto"/>
                <w:kern w:val="0"/>
                <w:szCs w:val="21"/>
              </w:rPr>
              <w:t>（二）部分公开（</w:t>
            </w:r>
            <w:bookmarkStart w:id="1" w:name="_Hlk66973981"/>
            <w:r>
              <w:rPr>
                <w:rFonts w:hint="eastAsia" w:ascii="黑体" w:hAnsi="黑体" w:eastAsia="黑体"/>
                <w:color w:val="auto"/>
                <w:kern w:val="0"/>
                <w:szCs w:val="21"/>
              </w:rPr>
              <w:t>区分处理的，只计这一情形，不计其他情形</w:t>
            </w:r>
            <w:bookmarkEnd w:id="1"/>
            <w:r>
              <w:rPr>
                <w:rFonts w:hint="eastAsia" w:ascii="黑体" w:hAnsi="黑体" w:eastAsia="黑体"/>
                <w:color w:val="auto"/>
                <w:kern w:val="0"/>
                <w:szCs w:val="21"/>
              </w:rPr>
              <w:t>）</w:t>
            </w:r>
          </w:p>
        </w:tc>
        <w:tc>
          <w:tcPr>
            <w:tcW w:w="752" w:type="dxa"/>
            <w:shd w:val="clear" w:color="auto" w:fill="auto"/>
            <w:tcMar>
              <w:left w:w="108" w:type="dxa"/>
              <w:right w:w="108" w:type="dxa"/>
            </w:tcMar>
            <w:vAlign w:val="center"/>
          </w:tcPr>
          <w:p w14:paraId="3BD89150">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1CDFEF96">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288ED1F4">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6A62408D">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2FB27CB4">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6" w:type="dxa"/>
            <w:shd w:val="clear" w:color="auto" w:fill="auto"/>
            <w:tcMar>
              <w:left w:w="108" w:type="dxa"/>
              <w:right w:w="108" w:type="dxa"/>
            </w:tcMar>
            <w:vAlign w:val="center"/>
          </w:tcPr>
          <w:p w14:paraId="5462F4F8">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4094B05B">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45AF5C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0EF15E51">
            <w:pPr>
              <w:rPr>
                <w:rFonts w:ascii="黑体" w:hAnsi="黑体" w:eastAsia="黑体"/>
                <w:color w:val="auto"/>
                <w:szCs w:val="21"/>
              </w:rPr>
            </w:pPr>
          </w:p>
        </w:tc>
        <w:tc>
          <w:tcPr>
            <w:tcW w:w="1699" w:type="dxa"/>
            <w:vMerge w:val="restart"/>
            <w:shd w:val="clear" w:color="auto" w:fill="auto"/>
            <w:tcMar>
              <w:left w:w="108" w:type="dxa"/>
              <w:right w:w="108" w:type="dxa"/>
            </w:tcMar>
            <w:vAlign w:val="center"/>
          </w:tcPr>
          <w:p w14:paraId="6E1FD70D">
            <w:pPr>
              <w:widowControl/>
              <w:spacing w:line="200" w:lineRule="exact"/>
              <w:ind w:left="-107" w:leftChars="-51"/>
              <w:rPr>
                <w:rFonts w:ascii="黑体" w:hAnsi="黑体" w:eastAsia="黑体"/>
                <w:color w:val="auto"/>
                <w:szCs w:val="21"/>
              </w:rPr>
            </w:pPr>
            <w:r>
              <w:rPr>
                <w:rFonts w:hint="eastAsia" w:ascii="黑体" w:hAnsi="黑体" w:eastAsia="黑体"/>
                <w:color w:val="auto"/>
                <w:kern w:val="0"/>
                <w:szCs w:val="21"/>
              </w:rPr>
              <w:t>（三）不予公开</w:t>
            </w:r>
          </w:p>
        </w:tc>
        <w:tc>
          <w:tcPr>
            <w:tcW w:w="2973" w:type="dxa"/>
            <w:shd w:val="clear" w:color="auto" w:fill="auto"/>
            <w:tcMar>
              <w:left w:w="108" w:type="dxa"/>
              <w:right w:w="108" w:type="dxa"/>
            </w:tcMar>
            <w:vAlign w:val="center"/>
          </w:tcPr>
          <w:p w14:paraId="34D6075C">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1.属于国家秘密</w:t>
            </w:r>
          </w:p>
        </w:tc>
        <w:tc>
          <w:tcPr>
            <w:tcW w:w="752" w:type="dxa"/>
            <w:shd w:val="clear" w:color="auto" w:fill="auto"/>
            <w:tcMar>
              <w:left w:w="108" w:type="dxa"/>
              <w:right w:w="108" w:type="dxa"/>
            </w:tcMar>
            <w:vAlign w:val="center"/>
          </w:tcPr>
          <w:p w14:paraId="1528AD68">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5509AB37">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2314B05D">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3976CA2C">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1EB0856E">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6" w:type="dxa"/>
            <w:shd w:val="clear" w:color="auto" w:fill="auto"/>
            <w:tcMar>
              <w:left w:w="108" w:type="dxa"/>
              <w:right w:w="108" w:type="dxa"/>
            </w:tcMar>
            <w:vAlign w:val="center"/>
          </w:tcPr>
          <w:p w14:paraId="45C6B824">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6D8BEC98">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1459AD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2B7D7DF7">
            <w:pPr>
              <w:rPr>
                <w:rFonts w:ascii="黑体" w:hAnsi="黑体" w:eastAsia="黑体"/>
                <w:color w:val="auto"/>
                <w:szCs w:val="21"/>
              </w:rPr>
            </w:pPr>
          </w:p>
        </w:tc>
        <w:tc>
          <w:tcPr>
            <w:tcW w:w="1699" w:type="dxa"/>
            <w:vMerge w:val="continue"/>
            <w:shd w:val="clear" w:color="auto" w:fill="auto"/>
            <w:tcMar>
              <w:left w:w="108" w:type="dxa"/>
              <w:right w:w="108" w:type="dxa"/>
            </w:tcMar>
            <w:vAlign w:val="center"/>
          </w:tcPr>
          <w:p w14:paraId="1F7B1186">
            <w:pPr>
              <w:spacing w:line="200" w:lineRule="exact"/>
              <w:rPr>
                <w:rFonts w:ascii="黑体" w:hAnsi="黑体" w:eastAsia="黑体"/>
                <w:color w:val="auto"/>
                <w:szCs w:val="21"/>
              </w:rPr>
            </w:pPr>
          </w:p>
        </w:tc>
        <w:tc>
          <w:tcPr>
            <w:tcW w:w="2973" w:type="dxa"/>
            <w:shd w:val="clear" w:color="auto" w:fill="auto"/>
            <w:tcMar>
              <w:left w:w="108" w:type="dxa"/>
              <w:right w:w="108" w:type="dxa"/>
            </w:tcMar>
            <w:vAlign w:val="center"/>
          </w:tcPr>
          <w:p w14:paraId="0C23A7AD">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2.</w:t>
            </w:r>
            <w:bookmarkStart w:id="2" w:name="_Hlk66974104"/>
            <w:r>
              <w:rPr>
                <w:rFonts w:hint="eastAsia" w:ascii="仿宋_GB2312" w:hAnsi="黑体" w:eastAsia="仿宋_GB2312"/>
                <w:color w:val="auto"/>
                <w:kern w:val="0"/>
                <w:szCs w:val="21"/>
              </w:rPr>
              <w:t>其他法律行政法规禁止公开</w:t>
            </w:r>
            <w:bookmarkEnd w:id="2"/>
          </w:p>
        </w:tc>
        <w:tc>
          <w:tcPr>
            <w:tcW w:w="752" w:type="dxa"/>
            <w:shd w:val="clear" w:color="auto" w:fill="auto"/>
            <w:tcMar>
              <w:left w:w="108" w:type="dxa"/>
              <w:right w:w="108" w:type="dxa"/>
            </w:tcMar>
            <w:vAlign w:val="center"/>
          </w:tcPr>
          <w:p w14:paraId="20818464">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196632A5">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5C12824B">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71CDE86F">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1F3996D9">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6" w:type="dxa"/>
            <w:shd w:val="clear" w:color="auto" w:fill="auto"/>
            <w:tcMar>
              <w:left w:w="108" w:type="dxa"/>
              <w:right w:w="108" w:type="dxa"/>
            </w:tcMar>
            <w:vAlign w:val="center"/>
          </w:tcPr>
          <w:p w14:paraId="00AFAB00">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75EA621A">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44E4A1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102DDEE0">
            <w:pPr>
              <w:rPr>
                <w:rFonts w:ascii="黑体" w:hAnsi="黑体" w:eastAsia="黑体"/>
                <w:color w:val="auto"/>
                <w:szCs w:val="21"/>
              </w:rPr>
            </w:pPr>
          </w:p>
        </w:tc>
        <w:tc>
          <w:tcPr>
            <w:tcW w:w="1699" w:type="dxa"/>
            <w:vMerge w:val="continue"/>
            <w:shd w:val="clear" w:color="auto" w:fill="auto"/>
            <w:tcMar>
              <w:left w:w="108" w:type="dxa"/>
              <w:right w:w="108" w:type="dxa"/>
            </w:tcMar>
            <w:vAlign w:val="center"/>
          </w:tcPr>
          <w:p w14:paraId="06364322">
            <w:pPr>
              <w:spacing w:line="200" w:lineRule="exact"/>
              <w:rPr>
                <w:rFonts w:ascii="黑体" w:hAnsi="黑体" w:eastAsia="黑体"/>
                <w:color w:val="auto"/>
                <w:szCs w:val="21"/>
              </w:rPr>
            </w:pPr>
          </w:p>
        </w:tc>
        <w:tc>
          <w:tcPr>
            <w:tcW w:w="2973" w:type="dxa"/>
            <w:shd w:val="clear" w:color="auto" w:fill="auto"/>
            <w:tcMar>
              <w:left w:w="108" w:type="dxa"/>
              <w:right w:w="108" w:type="dxa"/>
            </w:tcMar>
            <w:vAlign w:val="center"/>
          </w:tcPr>
          <w:p w14:paraId="13D6CF2F">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3.危及“三安全一稳定”</w:t>
            </w:r>
          </w:p>
        </w:tc>
        <w:tc>
          <w:tcPr>
            <w:tcW w:w="752" w:type="dxa"/>
            <w:shd w:val="clear" w:color="auto" w:fill="auto"/>
            <w:tcMar>
              <w:left w:w="108" w:type="dxa"/>
              <w:right w:w="108" w:type="dxa"/>
            </w:tcMar>
            <w:vAlign w:val="center"/>
          </w:tcPr>
          <w:p w14:paraId="490E7FF9">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6A15C583">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44CEE7D0">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526E2847">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46A48C14">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6" w:type="dxa"/>
            <w:shd w:val="clear" w:color="auto" w:fill="auto"/>
            <w:tcMar>
              <w:left w:w="108" w:type="dxa"/>
              <w:right w:w="108" w:type="dxa"/>
            </w:tcMar>
            <w:vAlign w:val="center"/>
          </w:tcPr>
          <w:p w14:paraId="18ED4CBE">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38C6E72D">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6F4C1C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7A891157">
            <w:pPr>
              <w:rPr>
                <w:rFonts w:ascii="黑体" w:hAnsi="黑体" w:eastAsia="黑体"/>
                <w:color w:val="auto"/>
                <w:szCs w:val="21"/>
              </w:rPr>
            </w:pPr>
          </w:p>
        </w:tc>
        <w:tc>
          <w:tcPr>
            <w:tcW w:w="1699" w:type="dxa"/>
            <w:vMerge w:val="continue"/>
            <w:shd w:val="clear" w:color="auto" w:fill="auto"/>
            <w:tcMar>
              <w:left w:w="108" w:type="dxa"/>
              <w:right w:w="108" w:type="dxa"/>
            </w:tcMar>
            <w:vAlign w:val="center"/>
          </w:tcPr>
          <w:p w14:paraId="7145CF2F">
            <w:pPr>
              <w:spacing w:line="200" w:lineRule="exact"/>
              <w:rPr>
                <w:rFonts w:ascii="黑体" w:hAnsi="黑体" w:eastAsia="黑体"/>
                <w:color w:val="auto"/>
                <w:szCs w:val="21"/>
              </w:rPr>
            </w:pPr>
          </w:p>
        </w:tc>
        <w:tc>
          <w:tcPr>
            <w:tcW w:w="2973" w:type="dxa"/>
            <w:shd w:val="clear" w:color="auto" w:fill="auto"/>
            <w:tcMar>
              <w:left w:w="108" w:type="dxa"/>
              <w:right w:w="108" w:type="dxa"/>
            </w:tcMar>
            <w:vAlign w:val="center"/>
          </w:tcPr>
          <w:p w14:paraId="2CD7B734">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4.</w:t>
            </w:r>
            <w:bookmarkStart w:id="3" w:name="_Hlk66974290"/>
            <w:r>
              <w:rPr>
                <w:rFonts w:hint="eastAsia" w:ascii="仿宋_GB2312" w:hAnsi="黑体" w:eastAsia="仿宋_GB2312"/>
                <w:color w:val="auto"/>
                <w:kern w:val="0"/>
                <w:szCs w:val="21"/>
              </w:rPr>
              <w:t>保护第三方合法权益</w:t>
            </w:r>
            <w:bookmarkEnd w:id="3"/>
          </w:p>
        </w:tc>
        <w:tc>
          <w:tcPr>
            <w:tcW w:w="752" w:type="dxa"/>
            <w:shd w:val="clear" w:color="auto" w:fill="auto"/>
            <w:tcMar>
              <w:left w:w="108" w:type="dxa"/>
              <w:right w:w="108" w:type="dxa"/>
            </w:tcMar>
            <w:vAlign w:val="center"/>
          </w:tcPr>
          <w:p w14:paraId="6BFC861E">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1C2B0981">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2DF13E53">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267CE2EF">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31755359">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6" w:type="dxa"/>
            <w:shd w:val="clear" w:color="auto" w:fill="auto"/>
            <w:tcMar>
              <w:left w:w="108" w:type="dxa"/>
              <w:right w:w="108" w:type="dxa"/>
            </w:tcMar>
            <w:vAlign w:val="center"/>
          </w:tcPr>
          <w:p w14:paraId="5C65BA46">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39DC7AA2">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4B2178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14AE16FF">
            <w:pPr>
              <w:rPr>
                <w:rFonts w:ascii="黑体" w:hAnsi="黑体" w:eastAsia="黑体"/>
                <w:color w:val="auto"/>
                <w:szCs w:val="21"/>
              </w:rPr>
            </w:pPr>
          </w:p>
        </w:tc>
        <w:tc>
          <w:tcPr>
            <w:tcW w:w="1699" w:type="dxa"/>
            <w:vMerge w:val="continue"/>
            <w:shd w:val="clear" w:color="auto" w:fill="auto"/>
            <w:tcMar>
              <w:left w:w="108" w:type="dxa"/>
              <w:right w:w="108" w:type="dxa"/>
            </w:tcMar>
            <w:vAlign w:val="center"/>
          </w:tcPr>
          <w:p w14:paraId="6CB1F4DB">
            <w:pPr>
              <w:spacing w:line="200" w:lineRule="exact"/>
              <w:rPr>
                <w:rFonts w:ascii="黑体" w:hAnsi="黑体" w:eastAsia="黑体"/>
                <w:color w:val="auto"/>
                <w:szCs w:val="21"/>
              </w:rPr>
            </w:pPr>
          </w:p>
        </w:tc>
        <w:tc>
          <w:tcPr>
            <w:tcW w:w="2973" w:type="dxa"/>
            <w:shd w:val="clear" w:color="auto" w:fill="auto"/>
            <w:tcMar>
              <w:left w:w="108" w:type="dxa"/>
              <w:right w:w="108" w:type="dxa"/>
            </w:tcMar>
            <w:vAlign w:val="center"/>
          </w:tcPr>
          <w:p w14:paraId="7F250100">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5.属于三类内部事务信息</w:t>
            </w:r>
          </w:p>
        </w:tc>
        <w:tc>
          <w:tcPr>
            <w:tcW w:w="752" w:type="dxa"/>
            <w:shd w:val="clear" w:color="auto" w:fill="auto"/>
            <w:tcMar>
              <w:left w:w="108" w:type="dxa"/>
              <w:right w:w="108" w:type="dxa"/>
            </w:tcMar>
            <w:vAlign w:val="center"/>
          </w:tcPr>
          <w:p w14:paraId="4D07C62D">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6878D263">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2FFBFCEF">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56E13018">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71FF3CAC">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6" w:type="dxa"/>
            <w:shd w:val="clear" w:color="auto" w:fill="auto"/>
            <w:tcMar>
              <w:left w:w="108" w:type="dxa"/>
              <w:right w:w="108" w:type="dxa"/>
            </w:tcMar>
            <w:vAlign w:val="center"/>
          </w:tcPr>
          <w:p w14:paraId="66CEB5B4">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260F17C0">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70581C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556656F9">
            <w:pPr>
              <w:rPr>
                <w:rFonts w:ascii="黑体" w:hAnsi="黑体" w:eastAsia="黑体"/>
                <w:color w:val="auto"/>
                <w:szCs w:val="21"/>
              </w:rPr>
            </w:pPr>
          </w:p>
        </w:tc>
        <w:tc>
          <w:tcPr>
            <w:tcW w:w="1699" w:type="dxa"/>
            <w:vMerge w:val="continue"/>
            <w:shd w:val="clear" w:color="auto" w:fill="auto"/>
            <w:tcMar>
              <w:left w:w="108" w:type="dxa"/>
              <w:right w:w="108" w:type="dxa"/>
            </w:tcMar>
            <w:vAlign w:val="center"/>
          </w:tcPr>
          <w:p w14:paraId="4FADCC69">
            <w:pPr>
              <w:spacing w:line="200" w:lineRule="exact"/>
              <w:rPr>
                <w:rFonts w:ascii="黑体" w:hAnsi="黑体" w:eastAsia="黑体"/>
                <w:color w:val="auto"/>
                <w:szCs w:val="21"/>
              </w:rPr>
            </w:pPr>
          </w:p>
        </w:tc>
        <w:tc>
          <w:tcPr>
            <w:tcW w:w="2973" w:type="dxa"/>
            <w:shd w:val="clear" w:color="auto" w:fill="auto"/>
            <w:tcMar>
              <w:left w:w="108" w:type="dxa"/>
              <w:right w:w="108" w:type="dxa"/>
            </w:tcMar>
            <w:vAlign w:val="center"/>
          </w:tcPr>
          <w:p w14:paraId="5FAEBA9B">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6.</w:t>
            </w:r>
            <w:bookmarkStart w:id="4" w:name="_Hlk66974555"/>
            <w:r>
              <w:rPr>
                <w:rFonts w:hint="eastAsia" w:ascii="仿宋_GB2312" w:hAnsi="黑体" w:eastAsia="仿宋_GB2312"/>
                <w:color w:val="auto"/>
                <w:kern w:val="0"/>
                <w:szCs w:val="21"/>
              </w:rPr>
              <w:t>属于四类过程性信息</w:t>
            </w:r>
            <w:bookmarkEnd w:id="4"/>
          </w:p>
        </w:tc>
        <w:tc>
          <w:tcPr>
            <w:tcW w:w="752" w:type="dxa"/>
            <w:shd w:val="clear" w:color="auto" w:fill="auto"/>
            <w:tcMar>
              <w:left w:w="108" w:type="dxa"/>
              <w:right w:w="108" w:type="dxa"/>
            </w:tcMar>
            <w:vAlign w:val="center"/>
          </w:tcPr>
          <w:p w14:paraId="1C95A775">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19DB1071">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2AD4F48B">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2638FEFD">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2972B6B1">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6" w:type="dxa"/>
            <w:shd w:val="clear" w:color="auto" w:fill="auto"/>
            <w:tcMar>
              <w:left w:w="108" w:type="dxa"/>
              <w:right w:w="108" w:type="dxa"/>
            </w:tcMar>
            <w:vAlign w:val="center"/>
          </w:tcPr>
          <w:p w14:paraId="2DEEB3EC">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0EB5B805">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0A6B54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51C71B40">
            <w:pPr>
              <w:rPr>
                <w:rFonts w:ascii="黑体" w:hAnsi="黑体" w:eastAsia="黑体"/>
                <w:color w:val="auto"/>
                <w:szCs w:val="21"/>
              </w:rPr>
            </w:pPr>
          </w:p>
        </w:tc>
        <w:tc>
          <w:tcPr>
            <w:tcW w:w="1699" w:type="dxa"/>
            <w:vMerge w:val="continue"/>
            <w:shd w:val="clear" w:color="auto" w:fill="auto"/>
            <w:tcMar>
              <w:left w:w="108" w:type="dxa"/>
              <w:right w:w="108" w:type="dxa"/>
            </w:tcMar>
            <w:vAlign w:val="center"/>
          </w:tcPr>
          <w:p w14:paraId="1BE34620">
            <w:pPr>
              <w:spacing w:line="200" w:lineRule="exact"/>
              <w:rPr>
                <w:rFonts w:ascii="黑体" w:hAnsi="黑体" w:eastAsia="黑体"/>
                <w:color w:val="auto"/>
                <w:szCs w:val="21"/>
              </w:rPr>
            </w:pPr>
          </w:p>
        </w:tc>
        <w:tc>
          <w:tcPr>
            <w:tcW w:w="2973" w:type="dxa"/>
            <w:shd w:val="clear" w:color="auto" w:fill="auto"/>
            <w:tcMar>
              <w:left w:w="108" w:type="dxa"/>
              <w:right w:w="108" w:type="dxa"/>
            </w:tcMar>
            <w:vAlign w:val="center"/>
          </w:tcPr>
          <w:p w14:paraId="201AF5AC">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7.属于行政执法案卷</w:t>
            </w:r>
          </w:p>
        </w:tc>
        <w:tc>
          <w:tcPr>
            <w:tcW w:w="752" w:type="dxa"/>
            <w:shd w:val="clear" w:color="auto" w:fill="auto"/>
            <w:tcMar>
              <w:left w:w="108" w:type="dxa"/>
              <w:right w:w="108" w:type="dxa"/>
            </w:tcMar>
            <w:vAlign w:val="center"/>
          </w:tcPr>
          <w:p w14:paraId="2871EF75">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3757E3AE">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3B240E99">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14CB61D6">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6238733E">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6" w:type="dxa"/>
            <w:shd w:val="clear" w:color="auto" w:fill="auto"/>
            <w:tcMar>
              <w:left w:w="108" w:type="dxa"/>
              <w:right w:w="108" w:type="dxa"/>
            </w:tcMar>
            <w:vAlign w:val="center"/>
          </w:tcPr>
          <w:p w14:paraId="09494409">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02FF9614">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0B3C6B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7DC5B816">
            <w:pPr>
              <w:rPr>
                <w:rFonts w:ascii="黑体" w:hAnsi="黑体" w:eastAsia="黑体"/>
                <w:color w:val="auto"/>
                <w:szCs w:val="21"/>
              </w:rPr>
            </w:pPr>
          </w:p>
        </w:tc>
        <w:tc>
          <w:tcPr>
            <w:tcW w:w="1699" w:type="dxa"/>
            <w:vMerge w:val="continue"/>
            <w:shd w:val="clear" w:color="auto" w:fill="auto"/>
            <w:tcMar>
              <w:left w:w="108" w:type="dxa"/>
              <w:right w:w="108" w:type="dxa"/>
            </w:tcMar>
            <w:vAlign w:val="center"/>
          </w:tcPr>
          <w:p w14:paraId="3E9D8973">
            <w:pPr>
              <w:spacing w:line="200" w:lineRule="exact"/>
              <w:rPr>
                <w:rFonts w:ascii="黑体" w:hAnsi="黑体" w:eastAsia="黑体"/>
                <w:color w:val="auto"/>
                <w:szCs w:val="21"/>
              </w:rPr>
            </w:pPr>
          </w:p>
        </w:tc>
        <w:tc>
          <w:tcPr>
            <w:tcW w:w="2973" w:type="dxa"/>
            <w:shd w:val="clear" w:color="auto" w:fill="auto"/>
            <w:tcMar>
              <w:left w:w="108" w:type="dxa"/>
              <w:right w:w="108" w:type="dxa"/>
            </w:tcMar>
            <w:vAlign w:val="center"/>
          </w:tcPr>
          <w:p w14:paraId="479D9DD2">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8.</w:t>
            </w:r>
            <w:bookmarkStart w:id="5" w:name="_Hlk66975211"/>
            <w:r>
              <w:rPr>
                <w:rFonts w:hint="eastAsia" w:ascii="仿宋_GB2312" w:hAnsi="黑体" w:eastAsia="仿宋_GB2312"/>
                <w:color w:val="auto"/>
                <w:kern w:val="0"/>
                <w:szCs w:val="21"/>
              </w:rPr>
              <w:t>属于行政查询事项</w:t>
            </w:r>
            <w:bookmarkEnd w:id="5"/>
          </w:p>
        </w:tc>
        <w:tc>
          <w:tcPr>
            <w:tcW w:w="752" w:type="dxa"/>
            <w:shd w:val="clear" w:color="auto" w:fill="auto"/>
            <w:tcMar>
              <w:left w:w="108" w:type="dxa"/>
              <w:right w:w="108" w:type="dxa"/>
            </w:tcMar>
            <w:vAlign w:val="center"/>
          </w:tcPr>
          <w:p w14:paraId="214E6519">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3A4D4E58">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4A9F78BF">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5EEB8848">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2328B08A">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6" w:type="dxa"/>
            <w:shd w:val="clear" w:color="auto" w:fill="auto"/>
            <w:tcMar>
              <w:left w:w="108" w:type="dxa"/>
              <w:right w:w="108" w:type="dxa"/>
            </w:tcMar>
            <w:vAlign w:val="center"/>
          </w:tcPr>
          <w:p w14:paraId="7D32A9AD">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3CCC0D90">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621FEB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3BD61293">
            <w:pPr>
              <w:rPr>
                <w:rFonts w:ascii="黑体" w:hAnsi="黑体" w:eastAsia="黑体"/>
                <w:color w:val="auto"/>
                <w:szCs w:val="21"/>
              </w:rPr>
            </w:pPr>
          </w:p>
        </w:tc>
        <w:tc>
          <w:tcPr>
            <w:tcW w:w="1699" w:type="dxa"/>
            <w:vMerge w:val="restart"/>
            <w:shd w:val="clear" w:color="auto" w:fill="auto"/>
            <w:tcMar>
              <w:left w:w="108" w:type="dxa"/>
              <w:right w:w="108" w:type="dxa"/>
            </w:tcMar>
            <w:vAlign w:val="center"/>
          </w:tcPr>
          <w:p w14:paraId="227E6414">
            <w:pPr>
              <w:widowControl/>
              <w:spacing w:line="200" w:lineRule="exact"/>
              <w:ind w:left="-107" w:leftChars="-51"/>
              <w:rPr>
                <w:rFonts w:ascii="黑体" w:hAnsi="黑体" w:eastAsia="黑体"/>
                <w:color w:val="auto"/>
                <w:szCs w:val="21"/>
              </w:rPr>
            </w:pPr>
            <w:r>
              <w:rPr>
                <w:rFonts w:hint="eastAsia" w:ascii="黑体" w:hAnsi="黑体" w:eastAsia="黑体"/>
                <w:color w:val="auto"/>
                <w:kern w:val="0"/>
                <w:szCs w:val="21"/>
              </w:rPr>
              <w:t>（四）无法提供</w:t>
            </w:r>
          </w:p>
        </w:tc>
        <w:tc>
          <w:tcPr>
            <w:tcW w:w="2973" w:type="dxa"/>
            <w:shd w:val="clear" w:color="auto" w:fill="auto"/>
            <w:tcMar>
              <w:left w:w="108" w:type="dxa"/>
              <w:right w:w="108" w:type="dxa"/>
            </w:tcMar>
            <w:vAlign w:val="center"/>
          </w:tcPr>
          <w:p w14:paraId="508A0A84">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1.本机关不掌握相关政府信息</w:t>
            </w:r>
          </w:p>
        </w:tc>
        <w:tc>
          <w:tcPr>
            <w:tcW w:w="752" w:type="dxa"/>
            <w:shd w:val="clear" w:color="auto" w:fill="auto"/>
            <w:tcMar>
              <w:left w:w="108" w:type="dxa"/>
              <w:right w:w="108" w:type="dxa"/>
            </w:tcMar>
            <w:vAlign w:val="center"/>
          </w:tcPr>
          <w:p w14:paraId="628C1B8C">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4C063204">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5A261714">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73B71F7E">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5E40DE9A">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6" w:type="dxa"/>
            <w:shd w:val="clear" w:color="auto" w:fill="auto"/>
            <w:tcMar>
              <w:left w:w="108" w:type="dxa"/>
              <w:right w:w="108" w:type="dxa"/>
            </w:tcMar>
            <w:vAlign w:val="center"/>
          </w:tcPr>
          <w:p w14:paraId="44424971">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14E6151C">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07DC68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771A43A5">
            <w:pPr>
              <w:rPr>
                <w:rFonts w:ascii="黑体" w:hAnsi="黑体" w:eastAsia="黑体"/>
                <w:color w:val="auto"/>
                <w:szCs w:val="21"/>
              </w:rPr>
            </w:pPr>
          </w:p>
        </w:tc>
        <w:tc>
          <w:tcPr>
            <w:tcW w:w="1699" w:type="dxa"/>
            <w:vMerge w:val="continue"/>
            <w:shd w:val="clear" w:color="auto" w:fill="auto"/>
            <w:tcMar>
              <w:left w:w="108" w:type="dxa"/>
              <w:right w:w="108" w:type="dxa"/>
            </w:tcMar>
            <w:vAlign w:val="center"/>
          </w:tcPr>
          <w:p w14:paraId="18BCF176">
            <w:pPr>
              <w:spacing w:line="200" w:lineRule="exact"/>
              <w:ind w:left="-107" w:leftChars="-51"/>
              <w:rPr>
                <w:rFonts w:ascii="黑体" w:hAnsi="黑体" w:eastAsia="黑体"/>
                <w:color w:val="auto"/>
                <w:szCs w:val="21"/>
              </w:rPr>
            </w:pPr>
          </w:p>
        </w:tc>
        <w:tc>
          <w:tcPr>
            <w:tcW w:w="2973" w:type="dxa"/>
            <w:shd w:val="clear" w:color="auto" w:fill="auto"/>
            <w:tcMar>
              <w:left w:w="108" w:type="dxa"/>
              <w:right w:w="108" w:type="dxa"/>
            </w:tcMar>
            <w:vAlign w:val="center"/>
          </w:tcPr>
          <w:p w14:paraId="1C49A243">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2.</w:t>
            </w:r>
            <w:bookmarkStart w:id="6" w:name="_Hlk66975392"/>
            <w:r>
              <w:rPr>
                <w:rFonts w:hint="eastAsia" w:ascii="仿宋_GB2312" w:hAnsi="黑体" w:eastAsia="仿宋_GB2312"/>
                <w:color w:val="auto"/>
                <w:kern w:val="0"/>
                <w:szCs w:val="21"/>
              </w:rPr>
              <w:t>没有现成信息需要另行制作</w:t>
            </w:r>
            <w:bookmarkEnd w:id="6"/>
          </w:p>
        </w:tc>
        <w:tc>
          <w:tcPr>
            <w:tcW w:w="752" w:type="dxa"/>
            <w:shd w:val="clear" w:color="auto" w:fill="auto"/>
            <w:tcMar>
              <w:left w:w="108" w:type="dxa"/>
              <w:right w:w="108" w:type="dxa"/>
            </w:tcMar>
            <w:vAlign w:val="center"/>
          </w:tcPr>
          <w:p w14:paraId="0D1B8415">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25A665AD">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7EF83940">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6BCAEB2F">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5CB4DD80">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6" w:type="dxa"/>
            <w:shd w:val="clear" w:color="auto" w:fill="auto"/>
            <w:tcMar>
              <w:left w:w="108" w:type="dxa"/>
              <w:right w:w="108" w:type="dxa"/>
            </w:tcMar>
            <w:vAlign w:val="center"/>
          </w:tcPr>
          <w:p w14:paraId="4C1D710B">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42898DFA">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1D5E70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55184F3E">
            <w:pPr>
              <w:rPr>
                <w:rFonts w:ascii="黑体" w:hAnsi="黑体" w:eastAsia="黑体"/>
                <w:color w:val="auto"/>
                <w:szCs w:val="21"/>
              </w:rPr>
            </w:pPr>
          </w:p>
        </w:tc>
        <w:tc>
          <w:tcPr>
            <w:tcW w:w="1699" w:type="dxa"/>
            <w:vMerge w:val="continue"/>
            <w:shd w:val="clear" w:color="auto" w:fill="auto"/>
            <w:tcMar>
              <w:left w:w="108" w:type="dxa"/>
              <w:right w:w="108" w:type="dxa"/>
            </w:tcMar>
            <w:vAlign w:val="center"/>
          </w:tcPr>
          <w:p w14:paraId="2DA1F316">
            <w:pPr>
              <w:spacing w:line="200" w:lineRule="exact"/>
              <w:ind w:left="-107" w:leftChars="-51"/>
              <w:rPr>
                <w:rFonts w:ascii="黑体" w:hAnsi="黑体" w:eastAsia="黑体"/>
                <w:color w:val="auto"/>
                <w:szCs w:val="21"/>
              </w:rPr>
            </w:pPr>
          </w:p>
        </w:tc>
        <w:tc>
          <w:tcPr>
            <w:tcW w:w="2973" w:type="dxa"/>
            <w:shd w:val="clear" w:color="auto" w:fill="auto"/>
            <w:tcMar>
              <w:left w:w="108" w:type="dxa"/>
              <w:right w:w="108" w:type="dxa"/>
            </w:tcMar>
            <w:vAlign w:val="center"/>
          </w:tcPr>
          <w:p w14:paraId="65BAAAF1">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3.</w:t>
            </w:r>
            <w:bookmarkStart w:id="7" w:name="_Hlk66975466"/>
            <w:r>
              <w:rPr>
                <w:rFonts w:hint="eastAsia" w:ascii="仿宋_GB2312" w:hAnsi="黑体" w:eastAsia="仿宋_GB2312"/>
                <w:color w:val="auto"/>
                <w:kern w:val="0"/>
                <w:szCs w:val="21"/>
              </w:rPr>
              <w:t>补正后申请内容仍不明确</w:t>
            </w:r>
            <w:bookmarkEnd w:id="7"/>
          </w:p>
        </w:tc>
        <w:tc>
          <w:tcPr>
            <w:tcW w:w="752" w:type="dxa"/>
            <w:shd w:val="clear" w:color="auto" w:fill="auto"/>
            <w:tcMar>
              <w:left w:w="108" w:type="dxa"/>
              <w:right w:w="108" w:type="dxa"/>
            </w:tcMar>
            <w:vAlign w:val="center"/>
          </w:tcPr>
          <w:p w14:paraId="3788958A">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6FCDDE06">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11F9087E">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7AAF375E">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0AB9CD0E">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6" w:type="dxa"/>
            <w:shd w:val="clear" w:color="auto" w:fill="auto"/>
            <w:tcMar>
              <w:left w:w="108" w:type="dxa"/>
              <w:right w:w="108" w:type="dxa"/>
            </w:tcMar>
            <w:vAlign w:val="center"/>
          </w:tcPr>
          <w:p w14:paraId="02565396">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2DAF2785">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1EA5BA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4FCE14C5">
            <w:pPr>
              <w:rPr>
                <w:rFonts w:ascii="黑体" w:hAnsi="黑体" w:eastAsia="黑体"/>
                <w:color w:val="auto"/>
                <w:szCs w:val="21"/>
              </w:rPr>
            </w:pPr>
          </w:p>
        </w:tc>
        <w:tc>
          <w:tcPr>
            <w:tcW w:w="1699" w:type="dxa"/>
            <w:vMerge w:val="restart"/>
            <w:shd w:val="clear" w:color="auto" w:fill="auto"/>
            <w:tcMar>
              <w:left w:w="108" w:type="dxa"/>
              <w:right w:w="108" w:type="dxa"/>
            </w:tcMar>
            <w:vAlign w:val="center"/>
          </w:tcPr>
          <w:p w14:paraId="6DB2176A">
            <w:pPr>
              <w:widowControl/>
              <w:spacing w:line="200" w:lineRule="exact"/>
              <w:ind w:left="-107" w:leftChars="-51"/>
              <w:rPr>
                <w:rFonts w:ascii="黑体" w:hAnsi="黑体" w:eastAsia="黑体"/>
                <w:color w:val="auto"/>
                <w:szCs w:val="21"/>
              </w:rPr>
            </w:pPr>
            <w:r>
              <w:rPr>
                <w:rFonts w:hint="eastAsia" w:ascii="黑体" w:hAnsi="黑体" w:eastAsia="黑体"/>
                <w:color w:val="auto"/>
                <w:kern w:val="0"/>
                <w:szCs w:val="21"/>
              </w:rPr>
              <w:t>（五）不予处理</w:t>
            </w:r>
          </w:p>
        </w:tc>
        <w:tc>
          <w:tcPr>
            <w:tcW w:w="2973" w:type="dxa"/>
            <w:shd w:val="clear" w:color="auto" w:fill="auto"/>
            <w:tcMar>
              <w:left w:w="108" w:type="dxa"/>
              <w:right w:w="108" w:type="dxa"/>
            </w:tcMar>
            <w:vAlign w:val="center"/>
          </w:tcPr>
          <w:p w14:paraId="189F65D6">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1.</w:t>
            </w:r>
            <w:bookmarkStart w:id="8" w:name="_Hlk66975537"/>
            <w:r>
              <w:rPr>
                <w:rFonts w:hint="eastAsia" w:ascii="仿宋_GB2312" w:hAnsi="黑体" w:eastAsia="仿宋_GB2312"/>
                <w:color w:val="auto"/>
                <w:kern w:val="0"/>
                <w:szCs w:val="21"/>
              </w:rPr>
              <w:t>信访举报投诉类申请</w:t>
            </w:r>
            <w:bookmarkEnd w:id="8"/>
          </w:p>
        </w:tc>
        <w:tc>
          <w:tcPr>
            <w:tcW w:w="752" w:type="dxa"/>
            <w:shd w:val="clear" w:color="auto" w:fill="auto"/>
            <w:tcMar>
              <w:left w:w="108" w:type="dxa"/>
              <w:right w:w="108" w:type="dxa"/>
            </w:tcMar>
            <w:vAlign w:val="center"/>
          </w:tcPr>
          <w:p w14:paraId="1AF99762">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36C8409F">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7CD1B9A3">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07F37856">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48CC49E2">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6" w:type="dxa"/>
            <w:shd w:val="clear" w:color="auto" w:fill="auto"/>
            <w:tcMar>
              <w:left w:w="108" w:type="dxa"/>
              <w:right w:w="108" w:type="dxa"/>
            </w:tcMar>
            <w:vAlign w:val="center"/>
          </w:tcPr>
          <w:p w14:paraId="4AD1B363">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0523CAAD">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0F2E02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01823BA2">
            <w:pPr>
              <w:rPr>
                <w:rFonts w:ascii="黑体" w:hAnsi="黑体" w:eastAsia="黑体"/>
                <w:color w:val="auto"/>
                <w:szCs w:val="21"/>
              </w:rPr>
            </w:pPr>
          </w:p>
        </w:tc>
        <w:tc>
          <w:tcPr>
            <w:tcW w:w="1699" w:type="dxa"/>
            <w:vMerge w:val="continue"/>
            <w:shd w:val="clear" w:color="auto" w:fill="auto"/>
            <w:tcMar>
              <w:left w:w="108" w:type="dxa"/>
              <w:right w:w="108" w:type="dxa"/>
            </w:tcMar>
            <w:vAlign w:val="center"/>
          </w:tcPr>
          <w:p w14:paraId="7E6378D2">
            <w:pPr>
              <w:spacing w:line="200" w:lineRule="exact"/>
              <w:rPr>
                <w:rFonts w:ascii="黑体" w:hAnsi="黑体" w:eastAsia="黑体"/>
                <w:color w:val="auto"/>
                <w:szCs w:val="21"/>
              </w:rPr>
            </w:pPr>
          </w:p>
        </w:tc>
        <w:tc>
          <w:tcPr>
            <w:tcW w:w="2973" w:type="dxa"/>
            <w:shd w:val="clear" w:color="auto" w:fill="auto"/>
            <w:tcMar>
              <w:left w:w="108" w:type="dxa"/>
              <w:right w:w="108" w:type="dxa"/>
            </w:tcMar>
            <w:vAlign w:val="center"/>
          </w:tcPr>
          <w:p w14:paraId="596EB84B">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2.重复申请</w:t>
            </w:r>
          </w:p>
        </w:tc>
        <w:tc>
          <w:tcPr>
            <w:tcW w:w="752" w:type="dxa"/>
            <w:shd w:val="clear" w:color="auto" w:fill="auto"/>
            <w:tcMar>
              <w:left w:w="108" w:type="dxa"/>
              <w:right w:w="108" w:type="dxa"/>
            </w:tcMar>
            <w:vAlign w:val="center"/>
          </w:tcPr>
          <w:p w14:paraId="074C6E23">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38ADC0CD">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10EF471C">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3A100E98">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4986C3D4">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6" w:type="dxa"/>
            <w:shd w:val="clear" w:color="auto" w:fill="auto"/>
            <w:tcMar>
              <w:left w:w="108" w:type="dxa"/>
              <w:right w:w="108" w:type="dxa"/>
            </w:tcMar>
            <w:vAlign w:val="center"/>
          </w:tcPr>
          <w:p w14:paraId="04B12B70">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6B6F9FA7">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20F73A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68C7DFD0">
            <w:pPr>
              <w:rPr>
                <w:rFonts w:ascii="黑体" w:hAnsi="黑体" w:eastAsia="黑体"/>
                <w:color w:val="auto"/>
                <w:szCs w:val="21"/>
              </w:rPr>
            </w:pPr>
          </w:p>
        </w:tc>
        <w:tc>
          <w:tcPr>
            <w:tcW w:w="1699" w:type="dxa"/>
            <w:vMerge w:val="continue"/>
            <w:shd w:val="clear" w:color="auto" w:fill="auto"/>
            <w:tcMar>
              <w:left w:w="108" w:type="dxa"/>
              <w:right w:w="108" w:type="dxa"/>
            </w:tcMar>
            <w:vAlign w:val="center"/>
          </w:tcPr>
          <w:p w14:paraId="2EACB082">
            <w:pPr>
              <w:spacing w:line="200" w:lineRule="exact"/>
              <w:rPr>
                <w:rFonts w:ascii="黑体" w:hAnsi="黑体" w:eastAsia="黑体"/>
                <w:color w:val="auto"/>
                <w:szCs w:val="21"/>
              </w:rPr>
            </w:pPr>
          </w:p>
        </w:tc>
        <w:tc>
          <w:tcPr>
            <w:tcW w:w="2973" w:type="dxa"/>
            <w:shd w:val="clear" w:color="auto" w:fill="auto"/>
            <w:tcMar>
              <w:left w:w="108" w:type="dxa"/>
              <w:right w:w="108" w:type="dxa"/>
            </w:tcMar>
            <w:vAlign w:val="center"/>
          </w:tcPr>
          <w:p w14:paraId="2DBF9667">
            <w:pPr>
              <w:widowControl/>
              <w:spacing w:line="200" w:lineRule="exact"/>
              <w:rPr>
                <w:rFonts w:ascii="仿宋_GB2312" w:hAnsi="黑体" w:eastAsia="仿宋_GB2312"/>
                <w:color w:val="auto"/>
                <w:szCs w:val="21"/>
              </w:rPr>
            </w:pPr>
            <w:r>
              <w:rPr>
                <w:rFonts w:hint="eastAsia" w:ascii="仿宋_GB2312" w:hAnsi="黑体" w:eastAsia="仿宋_GB2312"/>
                <w:color w:val="auto"/>
                <w:kern w:val="0"/>
                <w:szCs w:val="21"/>
              </w:rPr>
              <w:t>3.要求提供公开出版物</w:t>
            </w:r>
          </w:p>
        </w:tc>
        <w:tc>
          <w:tcPr>
            <w:tcW w:w="752" w:type="dxa"/>
            <w:shd w:val="clear" w:color="auto" w:fill="auto"/>
            <w:tcMar>
              <w:left w:w="108" w:type="dxa"/>
              <w:right w:w="108" w:type="dxa"/>
            </w:tcMar>
            <w:vAlign w:val="center"/>
          </w:tcPr>
          <w:p w14:paraId="66014A32">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109ACE98">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04045BEE">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6C5D2A30">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6E55982D">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6" w:type="dxa"/>
            <w:shd w:val="clear" w:color="auto" w:fill="auto"/>
            <w:tcMar>
              <w:left w:w="108" w:type="dxa"/>
              <w:right w:w="108" w:type="dxa"/>
            </w:tcMar>
            <w:vAlign w:val="center"/>
          </w:tcPr>
          <w:p w14:paraId="7A6AFFF0">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7944D18D">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15B5C0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5" w:type="dxa"/>
            <w:vMerge w:val="continue"/>
            <w:shd w:val="clear" w:color="auto" w:fill="auto"/>
            <w:tcMar>
              <w:left w:w="108" w:type="dxa"/>
              <w:right w:w="108" w:type="dxa"/>
            </w:tcMar>
            <w:vAlign w:val="center"/>
          </w:tcPr>
          <w:p w14:paraId="592B3317">
            <w:pPr>
              <w:rPr>
                <w:rFonts w:ascii="黑体" w:hAnsi="黑体" w:eastAsia="黑体"/>
                <w:color w:val="auto"/>
                <w:szCs w:val="21"/>
              </w:rPr>
            </w:pPr>
          </w:p>
        </w:tc>
        <w:tc>
          <w:tcPr>
            <w:tcW w:w="1699" w:type="dxa"/>
            <w:vMerge w:val="continue"/>
            <w:shd w:val="clear" w:color="auto" w:fill="auto"/>
            <w:tcMar>
              <w:left w:w="108" w:type="dxa"/>
              <w:right w:w="108" w:type="dxa"/>
            </w:tcMar>
            <w:vAlign w:val="center"/>
          </w:tcPr>
          <w:p w14:paraId="30FE0D49">
            <w:pPr>
              <w:spacing w:line="200" w:lineRule="exact"/>
              <w:rPr>
                <w:rFonts w:ascii="黑体" w:hAnsi="黑体" w:eastAsia="黑体"/>
                <w:color w:val="auto"/>
                <w:szCs w:val="21"/>
              </w:rPr>
            </w:pPr>
          </w:p>
        </w:tc>
        <w:tc>
          <w:tcPr>
            <w:tcW w:w="2973" w:type="dxa"/>
            <w:shd w:val="clear" w:color="auto" w:fill="auto"/>
            <w:tcMar>
              <w:left w:w="108" w:type="dxa"/>
              <w:right w:w="108" w:type="dxa"/>
            </w:tcMar>
            <w:vAlign w:val="center"/>
          </w:tcPr>
          <w:p w14:paraId="7302322E">
            <w:pPr>
              <w:widowControl/>
              <w:spacing w:line="200" w:lineRule="exact"/>
              <w:rPr>
                <w:rFonts w:ascii="仿宋_GB2312" w:hAnsi="黑体" w:eastAsia="仿宋_GB2312"/>
                <w:color w:val="auto"/>
                <w:szCs w:val="21"/>
              </w:rPr>
            </w:pPr>
            <w:r>
              <w:rPr>
                <w:rFonts w:hint="eastAsia" w:ascii="仿宋_GB2312" w:hAnsi="黑体" w:eastAsia="仿宋_GB2312"/>
                <w:color w:val="auto"/>
                <w:kern w:val="0"/>
                <w:szCs w:val="21"/>
              </w:rPr>
              <w:t>4.无正当理由大量反复申请</w:t>
            </w:r>
          </w:p>
        </w:tc>
        <w:tc>
          <w:tcPr>
            <w:tcW w:w="752" w:type="dxa"/>
            <w:shd w:val="clear" w:color="auto" w:fill="auto"/>
            <w:tcMar>
              <w:left w:w="108" w:type="dxa"/>
              <w:right w:w="108" w:type="dxa"/>
            </w:tcMar>
            <w:vAlign w:val="center"/>
          </w:tcPr>
          <w:p w14:paraId="3BBC14D2">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74011F6D">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170AF0D7">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04D639DF">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20AEE978">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6" w:type="dxa"/>
            <w:shd w:val="clear" w:color="auto" w:fill="auto"/>
            <w:tcMar>
              <w:left w:w="108" w:type="dxa"/>
              <w:right w:w="108" w:type="dxa"/>
            </w:tcMar>
            <w:vAlign w:val="center"/>
          </w:tcPr>
          <w:p w14:paraId="174AAE93">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0156C34D">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43DB5B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shd w:val="clear" w:color="auto" w:fill="auto"/>
            <w:tcMar>
              <w:left w:w="108" w:type="dxa"/>
              <w:right w:w="108" w:type="dxa"/>
            </w:tcMar>
            <w:vAlign w:val="center"/>
          </w:tcPr>
          <w:p w14:paraId="2C14B96D">
            <w:pPr>
              <w:rPr>
                <w:rFonts w:ascii="黑体" w:hAnsi="黑体" w:eastAsia="黑体"/>
                <w:color w:val="auto"/>
                <w:szCs w:val="21"/>
              </w:rPr>
            </w:pPr>
          </w:p>
        </w:tc>
        <w:tc>
          <w:tcPr>
            <w:tcW w:w="1699" w:type="dxa"/>
            <w:vMerge w:val="continue"/>
            <w:shd w:val="clear" w:color="auto" w:fill="auto"/>
            <w:tcMar>
              <w:left w:w="108" w:type="dxa"/>
              <w:right w:w="108" w:type="dxa"/>
            </w:tcMar>
            <w:vAlign w:val="center"/>
          </w:tcPr>
          <w:p w14:paraId="22974F54">
            <w:pPr>
              <w:spacing w:line="200" w:lineRule="exact"/>
              <w:rPr>
                <w:rFonts w:ascii="黑体" w:hAnsi="黑体" w:eastAsia="黑体"/>
                <w:color w:val="auto"/>
                <w:szCs w:val="21"/>
              </w:rPr>
            </w:pPr>
          </w:p>
        </w:tc>
        <w:tc>
          <w:tcPr>
            <w:tcW w:w="2973" w:type="dxa"/>
            <w:shd w:val="clear" w:color="auto" w:fill="auto"/>
            <w:tcMar>
              <w:left w:w="108" w:type="dxa"/>
              <w:right w:w="108" w:type="dxa"/>
            </w:tcMar>
            <w:vAlign w:val="center"/>
          </w:tcPr>
          <w:p w14:paraId="04D1D109">
            <w:pPr>
              <w:widowControl/>
              <w:spacing w:line="300" w:lineRule="exact"/>
              <w:rPr>
                <w:rFonts w:ascii="仿宋_GB2312" w:hAnsi="黑体" w:eastAsia="仿宋_GB2312"/>
                <w:color w:val="auto"/>
                <w:kern w:val="0"/>
                <w:szCs w:val="21"/>
              </w:rPr>
            </w:pPr>
            <w:r>
              <w:rPr>
                <w:rFonts w:hint="eastAsia" w:ascii="仿宋_GB2312" w:hAnsi="黑体" w:eastAsia="仿宋_GB2312"/>
                <w:color w:val="auto"/>
                <w:kern w:val="0"/>
                <w:szCs w:val="21"/>
              </w:rPr>
              <w:t>5.要求行政机关确认或重新</w:t>
            </w:r>
          </w:p>
          <w:p w14:paraId="7B5C3D88">
            <w:pPr>
              <w:widowControl/>
              <w:spacing w:line="300" w:lineRule="exact"/>
              <w:ind w:firstLine="210" w:firstLineChars="100"/>
              <w:rPr>
                <w:rFonts w:ascii="仿宋_GB2312" w:hAnsi="黑体" w:eastAsia="仿宋_GB2312"/>
                <w:color w:val="auto"/>
                <w:szCs w:val="21"/>
              </w:rPr>
            </w:pPr>
            <w:r>
              <w:rPr>
                <w:rFonts w:hint="eastAsia" w:ascii="仿宋_GB2312" w:hAnsi="黑体" w:eastAsia="仿宋_GB2312"/>
                <w:color w:val="auto"/>
                <w:kern w:val="0"/>
                <w:szCs w:val="21"/>
              </w:rPr>
              <w:t>出具已获取信息</w:t>
            </w:r>
          </w:p>
        </w:tc>
        <w:tc>
          <w:tcPr>
            <w:tcW w:w="752" w:type="dxa"/>
            <w:shd w:val="clear" w:color="auto" w:fill="auto"/>
            <w:tcMar>
              <w:left w:w="108" w:type="dxa"/>
              <w:right w:w="108" w:type="dxa"/>
            </w:tcMar>
            <w:vAlign w:val="center"/>
          </w:tcPr>
          <w:p w14:paraId="0AA8CE8E">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3BED2AB9">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00270213">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30EA40B8">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2F1D5436">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6" w:type="dxa"/>
            <w:shd w:val="clear" w:color="auto" w:fill="auto"/>
            <w:tcMar>
              <w:left w:w="108" w:type="dxa"/>
              <w:right w:w="108" w:type="dxa"/>
            </w:tcMar>
            <w:vAlign w:val="center"/>
          </w:tcPr>
          <w:p w14:paraId="7D2B71BA">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78E45C10">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3E7F18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shd w:val="clear" w:color="auto" w:fill="auto"/>
            <w:tcMar>
              <w:left w:w="108" w:type="dxa"/>
              <w:right w:w="108" w:type="dxa"/>
            </w:tcMar>
            <w:vAlign w:val="center"/>
          </w:tcPr>
          <w:p w14:paraId="5B619AE8">
            <w:pPr>
              <w:rPr>
                <w:rFonts w:ascii="黑体" w:hAnsi="黑体" w:eastAsia="黑体"/>
                <w:color w:val="auto"/>
                <w:szCs w:val="21"/>
              </w:rPr>
            </w:pPr>
          </w:p>
        </w:tc>
        <w:tc>
          <w:tcPr>
            <w:tcW w:w="1699" w:type="dxa"/>
            <w:vMerge w:val="restart"/>
            <w:shd w:val="clear" w:color="auto" w:fill="auto"/>
            <w:tcMar>
              <w:left w:w="108" w:type="dxa"/>
              <w:right w:w="108" w:type="dxa"/>
            </w:tcMar>
            <w:vAlign w:val="center"/>
          </w:tcPr>
          <w:p w14:paraId="42844C01">
            <w:pPr>
              <w:widowControl/>
              <w:spacing w:line="300" w:lineRule="exact"/>
              <w:rPr>
                <w:rFonts w:ascii="黑体" w:hAnsi="黑体" w:eastAsia="黑体"/>
                <w:color w:val="auto"/>
                <w:kern w:val="0"/>
                <w:szCs w:val="21"/>
              </w:rPr>
            </w:pPr>
            <w:r>
              <w:rPr>
                <w:rFonts w:hint="eastAsia" w:ascii="黑体" w:hAnsi="黑体" w:eastAsia="黑体"/>
                <w:color w:val="auto"/>
                <w:kern w:val="0"/>
                <w:szCs w:val="21"/>
              </w:rPr>
              <w:t>（六）其他处理</w:t>
            </w:r>
          </w:p>
        </w:tc>
        <w:tc>
          <w:tcPr>
            <w:tcW w:w="2973" w:type="dxa"/>
            <w:shd w:val="clear" w:color="auto" w:fill="auto"/>
            <w:vAlign w:val="center"/>
          </w:tcPr>
          <w:p w14:paraId="264A926F">
            <w:pPr>
              <w:widowControl/>
              <w:spacing w:line="300" w:lineRule="exact"/>
              <w:rPr>
                <w:rFonts w:ascii="仿宋_GB2312" w:hAnsi="楷体" w:eastAsia="仿宋_GB2312"/>
                <w:color w:val="auto"/>
              </w:rPr>
            </w:pPr>
            <w:r>
              <w:rPr>
                <w:rFonts w:hint="eastAsia" w:ascii="仿宋_GB2312" w:hAnsi="楷体" w:eastAsia="仿宋_GB2312"/>
                <w:color w:val="auto"/>
              </w:rPr>
              <w:t>1.申请人无正当理由逾期不补正、行政机关不再处理其政府信息公开申请</w:t>
            </w:r>
          </w:p>
        </w:tc>
        <w:tc>
          <w:tcPr>
            <w:tcW w:w="752" w:type="dxa"/>
            <w:shd w:val="clear" w:color="auto" w:fill="auto"/>
            <w:tcMar>
              <w:left w:w="108" w:type="dxa"/>
              <w:right w:w="108" w:type="dxa"/>
            </w:tcMar>
            <w:vAlign w:val="center"/>
          </w:tcPr>
          <w:p w14:paraId="36A26325">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45B978AC">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1CD76686">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2817946E">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2BF55D4E">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6" w:type="dxa"/>
            <w:shd w:val="clear" w:color="auto" w:fill="auto"/>
            <w:tcMar>
              <w:left w:w="108" w:type="dxa"/>
              <w:right w:w="108" w:type="dxa"/>
            </w:tcMar>
            <w:vAlign w:val="center"/>
          </w:tcPr>
          <w:p w14:paraId="2645DD84">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6F7FEE5E">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5AD5FE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shd w:val="clear" w:color="auto" w:fill="auto"/>
            <w:tcMar>
              <w:left w:w="108" w:type="dxa"/>
              <w:right w:w="108" w:type="dxa"/>
            </w:tcMar>
            <w:vAlign w:val="center"/>
          </w:tcPr>
          <w:p w14:paraId="3515A7DE">
            <w:pPr>
              <w:rPr>
                <w:rFonts w:ascii="黑体" w:hAnsi="黑体" w:eastAsia="黑体"/>
                <w:color w:val="auto"/>
                <w:szCs w:val="21"/>
              </w:rPr>
            </w:pPr>
          </w:p>
        </w:tc>
        <w:tc>
          <w:tcPr>
            <w:tcW w:w="1699" w:type="dxa"/>
            <w:vMerge w:val="continue"/>
            <w:shd w:val="clear" w:color="auto" w:fill="auto"/>
            <w:tcMar>
              <w:left w:w="108" w:type="dxa"/>
              <w:right w:w="108" w:type="dxa"/>
            </w:tcMar>
            <w:vAlign w:val="center"/>
          </w:tcPr>
          <w:p w14:paraId="5588DC00">
            <w:pPr>
              <w:widowControl/>
              <w:spacing w:line="300" w:lineRule="exact"/>
              <w:rPr>
                <w:rFonts w:ascii="黑体" w:hAnsi="黑体" w:eastAsia="黑体"/>
                <w:color w:val="auto"/>
                <w:kern w:val="0"/>
                <w:szCs w:val="21"/>
              </w:rPr>
            </w:pPr>
          </w:p>
        </w:tc>
        <w:tc>
          <w:tcPr>
            <w:tcW w:w="2973" w:type="dxa"/>
            <w:shd w:val="clear" w:color="auto" w:fill="auto"/>
            <w:vAlign w:val="center"/>
          </w:tcPr>
          <w:p w14:paraId="7FE95732">
            <w:pPr>
              <w:widowControl/>
              <w:spacing w:line="300" w:lineRule="exact"/>
              <w:rPr>
                <w:rFonts w:ascii="仿宋_GB2312" w:hAnsi="黑体" w:eastAsia="仿宋_GB2312"/>
                <w:color w:val="auto"/>
                <w:kern w:val="0"/>
                <w:szCs w:val="21"/>
              </w:rPr>
            </w:pPr>
            <w:r>
              <w:rPr>
                <w:rFonts w:hint="eastAsia" w:ascii="仿宋_GB2312" w:hAnsi="楷体" w:eastAsia="仿宋_GB2312"/>
                <w:color w:val="auto"/>
              </w:rPr>
              <w:t>2.申请人逾期未按收费通知要求缴纳费用、行政机关不再处理其政府信息公开申请</w:t>
            </w:r>
          </w:p>
        </w:tc>
        <w:tc>
          <w:tcPr>
            <w:tcW w:w="752" w:type="dxa"/>
            <w:shd w:val="clear" w:color="auto" w:fill="auto"/>
            <w:tcMar>
              <w:left w:w="108" w:type="dxa"/>
              <w:right w:w="108" w:type="dxa"/>
            </w:tcMar>
            <w:vAlign w:val="center"/>
          </w:tcPr>
          <w:p w14:paraId="46E1E264">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20B4C312">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2BE78A66">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52BE26E7">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1CBE2BEA">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6" w:type="dxa"/>
            <w:shd w:val="clear" w:color="auto" w:fill="auto"/>
            <w:tcMar>
              <w:left w:w="108" w:type="dxa"/>
              <w:right w:w="108" w:type="dxa"/>
            </w:tcMar>
            <w:vAlign w:val="center"/>
          </w:tcPr>
          <w:p w14:paraId="5EDA7685">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7E900E82">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461A7E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shd w:val="clear" w:color="auto" w:fill="auto"/>
            <w:tcMar>
              <w:left w:w="108" w:type="dxa"/>
              <w:right w:w="108" w:type="dxa"/>
            </w:tcMar>
            <w:vAlign w:val="center"/>
          </w:tcPr>
          <w:p w14:paraId="221EFC63">
            <w:pPr>
              <w:rPr>
                <w:rFonts w:ascii="黑体" w:hAnsi="黑体" w:eastAsia="黑体"/>
                <w:color w:val="auto"/>
                <w:szCs w:val="21"/>
              </w:rPr>
            </w:pPr>
          </w:p>
        </w:tc>
        <w:tc>
          <w:tcPr>
            <w:tcW w:w="1699" w:type="dxa"/>
            <w:vMerge w:val="continue"/>
            <w:shd w:val="clear" w:color="auto" w:fill="auto"/>
            <w:tcMar>
              <w:left w:w="108" w:type="dxa"/>
              <w:right w:w="108" w:type="dxa"/>
            </w:tcMar>
            <w:vAlign w:val="center"/>
          </w:tcPr>
          <w:p w14:paraId="763E17CD">
            <w:pPr>
              <w:widowControl/>
              <w:spacing w:line="300" w:lineRule="exact"/>
              <w:rPr>
                <w:rFonts w:ascii="黑体" w:hAnsi="黑体" w:eastAsia="黑体"/>
                <w:color w:val="auto"/>
                <w:kern w:val="0"/>
                <w:szCs w:val="21"/>
              </w:rPr>
            </w:pPr>
          </w:p>
        </w:tc>
        <w:tc>
          <w:tcPr>
            <w:tcW w:w="2973" w:type="dxa"/>
            <w:shd w:val="clear" w:color="auto" w:fill="auto"/>
            <w:vAlign w:val="center"/>
          </w:tcPr>
          <w:p w14:paraId="1693DAC7">
            <w:pPr>
              <w:widowControl/>
              <w:spacing w:line="300" w:lineRule="exact"/>
              <w:rPr>
                <w:rFonts w:ascii="仿宋_GB2312" w:hAnsi="黑体" w:eastAsia="仿宋_GB2312"/>
                <w:color w:val="auto"/>
                <w:kern w:val="0"/>
                <w:szCs w:val="21"/>
              </w:rPr>
            </w:pPr>
            <w:r>
              <w:rPr>
                <w:rFonts w:hint="eastAsia" w:ascii="仿宋_GB2312" w:hAnsi="楷体" w:eastAsia="仿宋_GB2312"/>
                <w:color w:val="auto"/>
              </w:rPr>
              <w:t>3.其他</w:t>
            </w:r>
          </w:p>
        </w:tc>
        <w:tc>
          <w:tcPr>
            <w:tcW w:w="752" w:type="dxa"/>
            <w:shd w:val="clear" w:color="auto" w:fill="auto"/>
            <w:tcMar>
              <w:left w:w="108" w:type="dxa"/>
              <w:right w:w="108" w:type="dxa"/>
            </w:tcMar>
            <w:vAlign w:val="center"/>
          </w:tcPr>
          <w:p w14:paraId="5E434B3A">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1A9F13BB">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3CA8507B">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50F4C0A7">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79CBACCA">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6" w:type="dxa"/>
            <w:shd w:val="clear" w:color="auto" w:fill="auto"/>
            <w:tcMar>
              <w:left w:w="108" w:type="dxa"/>
              <w:right w:w="108" w:type="dxa"/>
            </w:tcMar>
            <w:vAlign w:val="center"/>
          </w:tcPr>
          <w:p w14:paraId="1D63DA22">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421A4D0F">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22F2E5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shd w:val="clear" w:color="auto" w:fill="auto"/>
            <w:tcMar>
              <w:left w:w="108" w:type="dxa"/>
              <w:right w:w="108" w:type="dxa"/>
            </w:tcMar>
            <w:vAlign w:val="center"/>
          </w:tcPr>
          <w:p w14:paraId="547D624F">
            <w:pPr>
              <w:rPr>
                <w:rFonts w:ascii="黑体" w:hAnsi="黑体" w:eastAsia="黑体"/>
                <w:color w:val="auto"/>
                <w:szCs w:val="21"/>
              </w:rPr>
            </w:pPr>
          </w:p>
        </w:tc>
        <w:tc>
          <w:tcPr>
            <w:tcW w:w="4672" w:type="dxa"/>
            <w:gridSpan w:val="2"/>
            <w:shd w:val="clear" w:color="auto" w:fill="auto"/>
            <w:tcMar>
              <w:left w:w="108" w:type="dxa"/>
              <w:right w:w="108" w:type="dxa"/>
            </w:tcMar>
            <w:vAlign w:val="center"/>
          </w:tcPr>
          <w:p w14:paraId="3EE06810">
            <w:pPr>
              <w:widowControl/>
              <w:spacing w:line="300" w:lineRule="exact"/>
              <w:rPr>
                <w:rFonts w:ascii="黑体" w:hAnsi="黑体" w:eastAsia="黑体"/>
                <w:color w:val="auto"/>
                <w:kern w:val="0"/>
                <w:szCs w:val="21"/>
              </w:rPr>
            </w:pPr>
            <w:r>
              <w:rPr>
                <w:rFonts w:hint="eastAsia" w:ascii="黑体" w:hAnsi="黑体" w:eastAsia="黑体"/>
                <w:color w:val="auto"/>
                <w:kern w:val="0"/>
                <w:szCs w:val="21"/>
              </w:rPr>
              <w:t>（七）总计</w:t>
            </w:r>
          </w:p>
        </w:tc>
        <w:tc>
          <w:tcPr>
            <w:tcW w:w="752" w:type="dxa"/>
            <w:shd w:val="clear" w:color="auto" w:fill="auto"/>
            <w:tcMar>
              <w:left w:w="108" w:type="dxa"/>
              <w:right w:w="108" w:type="dxa"/>
            </w:tcMar>
            <w:vAlign w:val="center"/>
          </w:tcPr>
          <w:p w14:paraId="7F9DCFAD">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37A21A92">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064ED0E5">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30F884B7">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11A466FB">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6" w:type="dxa"/>
            <w:shd w:val="clear" w:color="auto" w:fill="auto"/>
            <w:tcMar>
              <w:left w:w="108" w:type="dxa"/>
              <w:right w:w="108" w:type="dxa"/>
            </w:tcMar>
            <w:vAlign w:val="center"/>
          </w:tcPr>
          <w:p w14:paraId="53F34D09">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7091AAC4">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589DE4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87" w:type="dxa"/>
            <w:gridSpan w:val="3"/>
            <w:shd w:val="clear" w:color="auto" w:fill="auto"/>
            <w:tcMar>
              <w:left w:w="108" w:type="dxa"/>
              <w:right w:w="108" w:type="dxa"/>
            </w:tcMar>
            <w:vAlign w:val="center"/>
          </w:tcPr>
          <w:p w14:paraId="22543D64">
            <w:pPr>
              <w:widowControl/>
              <w:spacing w:line="300" w:lineRule="exact"/>
              <w:rPr>
                <w:rFonts w:ascii="黑体" w:hAnsi="黑体" w:eastAsia="黑体"/>
                <w:color w:val="auto"/>
                <w:kern w:val="0"/>
                <w:szCs w:val="21"/>
              </w:rPr>
            </w:pPr>
            <w:r>
              <w:rPr>
                <w:rFonts w:hint="eastAsia" w:ascii="黑体" w:hAnsi="黑体" w:eastAsia="黑体"/>
                <w:color w:val="auto"/>
                <w:kern w:val="0"/>
                <w:szCs w:val="21"/>
              </w:rPr>
              <w:t>四、结转下年度继续办理</w:t>
            </w:r>
          </w:p>
        </w:tc>
        <w:tc>
          <w:tcPr>
            <w:tcW w:w="752" w:type="dxa"/>
            <w:shd w:val="clear" w:color="auto" w:fill="auto"/>
            <w:tcMar>
              <w:left w:w="108" w:type="dxa"/>
              <w:right w:w="108" w:type="dxa"/>
            </w:tcMar>
            <w:vAlign w:val="center"/>
          </w:tcPr>
          <w:p w14:paraId="48C41192">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17B02328">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0C2C4481">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63C8BE68">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2E553BA0">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6" w:type="dxa"/>
            <w:shd w:val="clear" w:color="auto" w:fill="auto"/>
            <w:tcMar>
              <w:left w:w="108" w:type="dxa"/>
              <w:right w:w="108" w:type="dxa"/>
            </w:tcMar>
            <w:vAlign w:val="center"/>
          </w:tcPr>
          <w:p w14:paraId="117CFA1C">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4118F18F">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bl>
    <w:p w14:paraId="4CACC1C3">
      <w:pPr>
        <w:widowControl/>
        <w:spacing w:line="560" w:lineRule="exact"/>
        <w:ind w:firstLine="634"/>
        <w:jc w:val="left"/>
        <w:rPr>
          <w:rFonts w:ascii="黑体" w:hAnsi="黑体" w:eastAsia="黑体" w:cs="宋体"/>
          <w:color w:val="auto"/>
          <w:kern w:val="0"/>
          <w:sz w:val="32"/>
          <w:szCs w:val="32"/>
        </w:rPr>
      </w:pPr>
      <w:r>
        <w:rPr>
          <w:rFonts w:hint="eastAsia" w:ascii="黑体" w:hAnsi="黑体" w:eastAsia="黑体" w:cs="宋体"/>
          <w:color w:val="auto"/>
          <w:kern w:val="0"/>
          <w:sz w:val="32"/>
          <w:szCs w:val="32"/>
        </w:rPr>
        <w:t>四、政府信息公开行政复议、行政诉讼情况</w:t>
      </w: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514371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1F76095">
            <w:pPr>
              <w:widowControl/>
              <w:jc w:val="center"/>
              <w:rPr>
                <w:rFonts w:ascii="黑体" w:hAnsi="黑体" w:eastAsia="黑体"/>
                <w:color w:val="auto"/>
              </w:rPr>
            </w:pPr>
            <w:r>
              <w:rPr>
                <w:rFonts w:ascii="黑体" w:hAnsi="黑体" w:eastAsia="黑体"/>
                <w:color w:val="auto"/>
                <w:kern w:val="0"/>
                <w:sz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0999CFC">
            <w:pPr>
              <w:widowControl/>
              <w:jc w:val="center"/>
              <w:rPr>
                <w:rFonts w:ascii="黑体" w:hAnsi="黑体" w:eastAsia="黑体"/>
                <w:color w:val="auto"/>
              </w:rPr>
            </w:pPr>
            <w:r>
              <w:rPr>
                <w:rFonts w:ascii="黑体" w:hAnsi="黑体" w:eastAsia="黑体"/>
                <w:color w:val="auto"/>
                <w:kern w:val="0"/>
                <w:sz w:val="20"/>
              </w:rPr>
              <w:t>行政诉讼</w:t>
            </w:r>
          </w:p>
        </w:tc>
      </w:tr>
      <w:tr w14:paraId="722AA97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D4B88B4">
            <w:pPr>
              <w:widowControl/>
              <w:ind w:left="-149" w:leftChars="-71" w:right="-170" w:rightChars="-81"/>
              <w:jc w:val="center"/>
              <w:rPr>
                <w:rFonts w:ascii="黑体" w:hAnsi="黑体" w:eastAsia="黑体"/>
                <w:color w:val="auto"/>
                <w:kern w:val="0"/>
                <w:sz w:val="20"/>
              </w:rPr>
            </w:pPr>
            <w:r>
              <w:rPr>
                <w:rFonts w:ascii="黑体" w:hAnsi="黑体" w:eastAsia="黑体"/>
                <w:color w:val="auto"/>
                <w:kern w:val="0"/>
                <w:sz w:val="20"/>
              </w:rPr>
              <w:t>结果</w:t>
            </w:r>
          </w:p>
          <w:p w14:paraId="19DC4749">
            <w:pPr>
              <w:widowControl/>
              <w:ind w:left="-149" w:leftChars="-71" w:right="-170" w:rightChars="-81"/>
              <w:jc w:val="center"/>
              <w:rPr>
                <w:rFonts w:ascii="黑体" w:hAnsi="黑体" w:eastAsia="黑体"/>
                <w:color w:val="auto"/>
              </w:rPr>
            </w:pPr>
            <w:r>
              <w:rPr>
                <w:rFonts w:ascii="黑体" w:hAnsi="黑体" w:eastAsia="黑体"/>
                <w:color w:val="auto"/>
                <w:kern w:val="0"/>
                <w:sz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2D48D9A3">
            <w:pPr>
              <w:widowControl/>
              <w:ind w:left="-43" w:leftChars="-21" w:right="-132" w:rightChars="-63" w:hanging="1"/>
              <w:jc w:val="center"/>
              <w:rPr>
                <w:rFonts w:ascii="黑体" w:hAnsi="黑体" w:eastAsia="黑体"/>
                <w:color w:val="auto"/>
              </w:rPr>
            </w:pPr>
            <w:r>
              <w:rPr>
                <w:rFonts w:ascii="黑体" w:hAnsi="黑体" w:eastAsia="黑体"/>
                <w:color w:val="auto"/>
                <w:kern w:val="0"/>
                <w:sz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C17E85D">
            <w:pPr>
              <w:widowControl/>
              <w:ind w:left="-82" w:leftChars="-39" w:right="-97" w:rightChars="-46"/>
              <w:jc w:val="center"/>
              <w:rPr>
                <w:rFonts w:ascii="黑体" w:hAnsi="黑体" w:eastAsia="黑体"/>
                <w:color w:val="auto"/>
              </w:rPr>
            </w:pPr>
            <w:r>
              <w:rPr>
                <w:rFonts w:ascii="黑体" w:hAnsi="黑体" w:eastAsia="黑体"/>
                <w:color w:val="auto"/>
                <w:kern w:val="0"/>
                <w:sz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59B9230">
            <w:pPr>
              <w:widowControl/>
              <w:ind w:left="-118" w:leftChars="-56" w:right="-118" w:rightChars="-56"/>
              <w:jc w:val="center"/>
              <w:rPr>
                <w:rFonts w:ascii="黑体" w:hAnsi="黑体" w:eastAsia="黑体"/>
                <w:color w:val="auto"/>
                <w:kern w:val="0"/>
                <w:sz w:val="20"/>
              </w:rPr>
            </w:pPr>
            <w:r>
              <w:rPr>
                <w:rFonts w:ascii="黑体" w:hAnsi="黑体" w:eastAsia="黑体"/>
                <w:color w:val="auto"/>
                <w:kern w:val="0"/>
                <w:sz w:val="20"/>
              </w:rPr>
              <w:t>尚未</w:t>
            </w:r>
          </w:p>
          <w:p w14:paraId="6D90335D">
            <w:pPr>
              <w:widowControl/>
              <w:ind w:left="-118" w:leftChars="-56" w:right="-118" w:rightChars="-56"/>
              <w:jc w:val="center"/>
              <w:rPr>
                <w:rFonts w:ascii="黑体" w:hAnsi="黑体" w:eastAsia="黑体"/>
                <w:color w:val="auto"/>
              </w:rPr>
            </w:pPr>
            <w:r>
              <w:rPr>
                <w:rFonts w:ascii="黑体" w:hAnsi="黑体" w:eastAsia="黑体"/>
                <w:color w:val="auto"/>
                <w:kern w:val="0"/>
                <w:sz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AABFEF3">
            <w:pPr>
              <w:widowControl/>
              <w:spacing w:line="320" w:lineRule="exact"/>
              <w:jc w:val="center"/>
              <w:rPr>
                <w:rFonts w:ascii="黑体" w:hAnsi="黑体" w:eastAsia="黑体"/>
                <w:color w:val="auto"/>
                <w:kern w:val="0"/>
                <w:sz w:val="20"/>
              </w:rPr>
            </w:pPr>
            <w:r>
              <w:rPr>
                <w:rFonts w:ascii="黑体" w:hAnsi="黑体" w:eastAsia="黑体"/>
                <w:color w:val="auto"/>
                <w:kern w:val="0"/>
                <w:sz w:val="20"/>
              </w:rPr>
              <w:t>总</w:t>
            </w:r>
          </w:p>
          <w:p w14:paraId="41FA97BA">
            <w:pPr>
              <w:widowControl/>
              <w:spacing w:line="320" w:lineRule="exact"/>
              <w:jc w:val="center"/>
              <w:rPr>
                <w:rFonts w:ascii="黑体" w:hAnsi="黑体" w:eastAsia="黑体"/>
                <w:color w:val="auto"/>
              </w:rPr>
            </w:pPr>
            <w:r>
              <w:rPr>
                <w:rFonts w:ascii="黑体" w:hAnsi="黑体" w:eastAsia="黑体"/>
                <w:color w:val="auto"/>
                <w:kern w:val="0"/>
                <w:sz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E619EDC">
            <w:pPr>
              <w:widowControl/>
              <w:jc w:val="center"/>
              <w:rPr>
                <w:rFonts w:ascii="黑体" w:hAnsi="黑体" w:eastAsia="黑体"/>
                <w:color w:val="auto"/>
              </w:rPr>
            </w:pPr>
            <w:r>
              <w:rPr>
                <w:rFonts w:ascii="黑体" w:hAnsi="黑体" w:eastAsia="黑体"/>
                <w:color w:val="auto"/>
                <w:kern w:val="0"/>
                <w:sz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2CF0DAD">
            <w:pPr>
              <w:widowControl/>
              <w:jc w:val="center"/>
              <w:rPr>
                <w:rFonts w:ascii="黑体" w:hAnsi="黑体" w:eastAsia="黑体"/>
                <w:color w:val="auto"/>
              </w:rPr>
            </w:pPr>
            <w:bookmarkStart w:id="9" w:name="_Hlk67039688"/>
            <w:r>
              <w:rPr>
                <w:rFonts w:ascii="黑体" w:hAnsi="黑体" w:eastAsia="黑体"/>
                <w:color w:val="auto"/>
                <w:kern w:val="0"/>
                <w:sz w:val="20"/>
              </w:rPr>
              <w:t>复议后起诉</w:t>
            </w:r>
            <w:bookmarkEnd w:id="9"/>
          </w:p>
        </w:tc>
      </w:tr>
      <w:tr w14:paraId="6C7001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DB63BB7">
            <w:pPr>
              <w:rPr>
                <w:rFonts w:ascii="黑体" w:hAnsi="黑体" w:eastAsia="黑体"/>
                <w:color w:val="auto"/>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07D0C859">
            <w:pPr>
              <w:rPr>
                <w:rFonts w:ascii="黑体" w:hAnsi="黑体" w:eastAsia="黑体"/>
                <w:color w:val="auto"/>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3EA8616">
            <w:pPr>
              <w:rPr>
                <w:rFonts w:ascii="黑体" w:hAnsi="黑体" w:eastAsia="黑体"/>
                <w:color w:val="auto"/>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743DF19">
            <w:pPr>
              <w:rPr>
                <w:rFonts w:ascii="黑体" w:hAnsi="黑体" w:eastAsia="黑体"/>
                <w:color w:val="auto"/>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EE190BA">
            <w:pPr>
              <w:rPr>
                <w:rFonts w:ascii="黑体" w:hAnsi="黑体" w:eastAsia="黑体"/>
                <w:color w:val="auto"/>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36EA7993">
            <w:pPr>
              <w:widowControl/>
              <w:ind w:left="-105" w:leftChars="-50" w:right="-126" w:rightChars="-60"/>
              <w:jc w:val="center"/>
              <w:rPr>
                <w:rFonts w:ascii="黑体" w:hAnsi="黑体" w:eastAsia="黑体"/>
                <w:color w:val="auto"/>
              </w:rPr>
            </w:pPr>
            <w:r>
              <w:rPr>
                <w:rFonts w:ascii="黑体" w:hAnsi="黑体" w:eastAsia="黑体"/>
                <w:color w:val="auto"/>
                <w:kern w:val="0"/>
                <w:sz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C53F825">
            <w:pPr>
              <w:widowControl/>
              <w:ind w:left="-86" w:leftChars="-41" w:right="-88" w:rightChars="-42"/>
              <w:jc w:val="center"/>
              <w:rPr>
                <w:rFonts w:ascii="黑体" w:hAnsi="黑体" w:eastAsia="黑体"/>
                <w:color w:val="auto"/>
              </w:rPr>
            </w:pPr>
            <w:r>
              <w:rPr>
                <w:rFonts w:ascii="黑体" w:hAnsi="黑体" w:eastAsia="黑体"/>
                <w:color w:val="auto"/>
                <w:kern w:val="0"/>
                <w:sz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84D8B22">
            <w:pPr>
              <w:widowControl/>
              <w:ind w:left="-126" w:leftChars="-60" w:right="-136" w:rightChars="-65"/>
              <w:jc w:val="center"/>
              <w:rPr>
                <w:rFonts w:ascii="黑体" w:hAnsi="黑体" w:eastAsia="黑体"/>
                <w:color w:val="auto"/>
                <w:kern w:val="0"/>
                <w:sz w:val="20"/>
              </w:rPr>
            </w:pPr>
            <w:r>
              <w:rPr>
                <w:rFonts w:ascii="黑体" w:hAnsi="黑体" w:eastAsia="黑体"/>
                <w:color w:val="auto"/>
                <w:kern w:val="0"/>
                <w:sz w:val="20"/>
              </w:rPr>
              <w:t>其他</w:t>
            </w:r>
          </w:p>
          <w:p w14:paraId="44C34A6A">
            <w:pPr>
              <w:widowControl/>
              <w:ind w:left="-126" w:leftChars="-60" w:right="-136" w:rightChars="-65"/>
              <w:jc w:val="center"/>
              <w:rPr>
                <w:rFonts w:ascii="黑体" w:hAnsi="黑体" w:eastAsia="黑体"/>
                <w:color w:val="auto"/>
              </w:rPr>
            </w:pPr>
            <w:r>
              <w:rPr>
                <w:rFonts w:ascii="黑体" w:hAnsi="黑体" w:eastAsia="黑体"/>
                <w:color w:val="auto"/>
                <w:kern w:val="0"/>
                <w:sz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377FD00">
            <w:pPr>
              <w:widowControl/>
              <w:ind w:left="-164" w:leftChars="-78" w:right="-153" w:rightChars="-73"/>
              <w:jc w:val="center"/>
              <w:rPr>
                <w:rFonts w:ascii="黑体" w:hAnsi="黑体" w:eastAsia="黑体"/>
                <w:color w:val="auto"/>
                <w:kern w:val="0"/>
                <w:sz w:val="20"/>
              </w:rPr>
            </w:pPr>
            <w:r>
              <w:rPr>
                <w:rFonts w:ascii="黑体" w:hAnsi="黑体" w:eastAsia="黑体"/>
                <w:color w:val="auto"/>
                <w:kern w:val="0"/>
                <w:sz w:val="20"/>
              </w:rPr>
              <w:t>尚未</w:t>
            </w:r>
          </w:p>
          <w:p w14:paraId="23631C64">
            <w:pPr>
              <w:widowControl/>
              <w:ind w:left="-164" w:leftChars="-78" w:right="-153" w:rightChars="-73"/>
              <w:jc w:val="center"/>
              <w:rPr>
                <w:rFonts w:ascii="黑体" w:hAnsi="黑体" w:eastAsia="黑体"/>
                <w:color w:val="auto"/>
              </w:rPr>
            </w:pPr>
            <w:r>
              <w:rPr>
                <w:rFonts w:ascii="黑体" w:hAnsi="黑体" w:eastAsia="黑体"/>
                <w:color w:val="auto"/>
                <w:kern w:val="0"/>
                <w:sz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FD1F1DF">
            <w:pPr>
              <w:widowControl/>
              <w:jc w:val="center"/>
              <w:rPr>
                <w:rFonts w:ascii="黑体" w:hAnsi="黑体" w:eastAsia="黑体"/>
                <w:color w:val="auto"/>
              </w:rPr>
            </w:pPr>
            <w:r>
              <w:rPr>
                <w:rFonts w:ascii="黑体" w:hAnsi="黑体" w:eastAsia="黑体"/>
                <w:color w:val="auto"/>
                <w:kern w:val="0"/>
                <w:sz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70067E8">
            <w:pPr>
              <w:widowControl/>
              <w:ind w:left="-99" w:leftChars="-47" w:right="-78" w:rightChars="-37"/>
              <w:jc w:val="center"/>
              <w:rPr>
                <w:rFonts w:ascii="黑体" w:hAnsi="黑体" w:eastAsia="黑体"/>
                <w:color w:val="auto"/>
              </w:rPr>
            </w:pPr>
            <w:r>
              <w:rPr>
                <w:rFonts w:ascii="黑体" w:hAnsi="黑体" w:eastAsia="黑体"/>
                <w:color w:val="auto"/>
                <w:kern w:val="0"/>
                <w:sz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A28EF16">
            <w:pPr>
              <w:widowControl/>
              <w:ind w:left="-136" w:leftChars="-65" w:right="-124" w:rightChars="-59"/>
              <w:jc w:val="center"/>
              <w:rPr>
                <w:rFonts w:ascii="黑体" w:hAnsi="黑体" w:eastAsia="黑体"/>
                <w:color w:val="auto"/>
                <w:kern w:val="0"/>
                <w:sz w:val="20"/>
              </w:rPr>
            </w:pPr>
            <w:r>
              <w:rPr>
                <w:rFonts w:ascii="黑体" w:hAnsi="黑体" w:eastAsia="黑体"/>
                <w:color w:val="auto"/>
                <w:kern w:val="0"/>
                <w:sz w:val="20"/>
              </w:rPr>
              <w:t>结果</w:t>
            </w:r>
          </w:p>
          <w:p w14:paraId="61B2CC2A">
            <w:pPr>
              <w:widowControl/>
              <w:ind w:left="-136" w:leftChars="-65" w:right="-124" w:rightChars="-59"/>
              <w:jc w:val="center"/>
              <w:rPr>
                <w:rFonts w:ascii="黑体" w:hAnsi="黑体" w:eastAsia="黑体"/>
                <w:color w:val="auto"/>
              </w:rPr>
            </w:pPr>
            <w:r>
              <w:rPr>
                <w:rFonts w:ascii="黑体" w:hAnsi="黑体" w:eastAsia="黑体"/>
                <w:color w:val="auto"/>
                <w:kern w:val="0"/>
                <w:sz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891F3ED">
            <w:pPr>
              <w:widowControl/>
              <w:ind w:left="-173" w:leftChars="-83" w:right="-134" w:rightChars="-64" w:hanging="1"/>
              <w:jc w:val="center"/>
              <w:rPr>
                <w:rFonts w:ascii="黑体" w:hAnsi="黑体" w:eastAsia="黑体"/>
                <w:color w:val="auto"/>
                <w:kern w:val="0"/>
                <w:sz w:val="20"/>
              </w:rPr>
            </w:pPr>
            <w:r>
              <w:rPr>
                <w:rFonts w:ascii="黑体" w:hAnsi="黑体" w:eastAsia="黑体"/>
                <w:color w:val="auto"/>
                <w:kern w:val="0"/>
                <w:sz w:val="20"/>
              </w:rPr>
              <w:t>其他</w:t>
            </w:r>
          </w:p>
          <w:p w14:paraId="225E8145">
            <w:pPr>
              <w:widowControl/>
              <w:ind w:left="-173" w:leftChars="-83" w:right="-134" w:rightChars="-64" w:hanging="1"/>
              <w:jc w:val="center"/>
              <w:rPr>
                <w:rFonts w:ascii="黑体" w:hAnsi="黑体" w:eastAsia="黑体"/>
                <w:color w:val="auto"/>
              </w:rPr>
            </w:pPr>
            <w:r>
              <w:rPr>
                <w:rFonts w:ascii="黑体" w:hAnsi="黑体" w:eastAsia="黑体"/>
                <w:color w:val="auto"/>
                <w:kern w:val="0"/>
                <w:sz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2C0ECD0">
            <w:pPr>
              <w:widowControl/>
              <w:ind w:left="-67" w:leftChars="-33" w:right="-105" w:rightChars="-50" w:hanging="2" w:hangingChars="1"/>
              <w:jc w:val="center"/>
              <w:rPr>
                <w:rFonts w:ascii="黑体" w:hAnsi="黑体" w:eastAsia="黑体"/>
                <w:color w:val="auto"/>
              </w:rPr>
            </w:pPr>
            <w:r>
              <w:rPr>
                <w:rFonts w:ascii="黑体" w:hAnsi="黑体" w:eastAsia="黑体"/>
                <w:color w:val="auto"/>
                <w:kern w:val="0"/>
                <w:sz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439033E">
            <w:pPr>
              <w:widowControl/>
              <w:jc w:val="center"/>
              <w:rPr>
                <w:rFonts w:ascii="黑体" w:hAnsi="黑体" w:eastAsia="黑体"/>
                <w:color w:val="auto"/>
              </w:rPr>
            </w:pPr>
            <w:r>
              <w:rPr>
                <w:rFonts w:ascii="黑体" w:hAnsi="黑体" w:eastAsia="黑体"/>
                <w:color w:val="auto"/>
                <w:kern w:val="0"/>
                <w:sz w:val="20"/>
              </w:rPr>
              <w:t>总计</w:t>
            </w:r>
          </w:p>
        </w:tc>
      </w:tr>
      <w:tr w14:paraId="2A46CB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CB8AFB7">
            <w:pPr>
              <w:widowControl/>
              <w:spacing w:after="180"/>
              <w:jc w:val="center"/>
              <w:rPr>
                <w:color w:val="auto"/>
              </w:rPr>
            </w:pPr>
            <w:r>
              <w:rPr>
                <w:rFonts w:hint="eastAsia"/>
                <w:color w:val="auto"/>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2B96C668">
            <w:pPr>
              <w:widowControl/>
              <w:spacing w:after="180"/>
              <w:jc w:val="center"/>
              <w:rPr>
                <w:color w:val="auto"/>
              </w:rPr>
            </w:pPr>
            <w:r>
              <w:rPr>
                <w:rFonts w:hint="eastAsia"/>
                <w:color w:val="auto"/>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73AB5966">
            <w:pPr>
              <w:widowControl/>
              <w:spacing w:after="180"/>
              <w:jc w:val="center"/>
              <w:rPr>
                <w:color w:val="auto"/>
              </w:rPr>
            </w:pPr>
            <w:r>
              <w:rPr>
                <w:rFonts w:hint="eastAsia"/>
                <w:color w:val="auto"/>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51065CAD">
            <w:pPr>
              <w:widowControl/>
              <w:spacing w:after="180"/>
              <w:jc w:val="center"/>
              <w:rPr>
                <w:color w:val="auto"/>
              </w:rPr>
            </w:pPr>
            <w:r>
              <w:rPr>
                <w:rFonts w:hint="eastAsia"/>
                <w:color w:val="auto"/>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101BA2F4">
            <w:pPr>
              <w:widowControl/>
              <w:spacing w:after="180"/>
              <w:jc w:val="center"/>
              <w:rPr>
                <w:color w:val="auto"/>
              </w:rPr>
            </w:pPr>
            <w:r>
              <w:rPr>
                <w:rFonts w:hint="eastAsia"/>
                <w:color w:val="auto"/>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06F96E2D">
            <w:pPr>
              <w:widowControl/>
              <w:spacing w:after="180"/>
              <w:jc w:val="center"/>
              <w:rPr>
                <w:color w:val="auto"/>
              </w:rPr>
            </w:pPr>
            <w:r>
              <w:rPr>
                <w:rFonts w:hint="eastAsia"/>
                <w:color w:val="auto"/>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4B20254">
            <w:pPr>
              <w:widowControl/>
              <w:spacing w:after="180"/>
              <w:jc w:val="center"/>
              <w:rPr>
                <w:color w:val="auto"/>
              </w:rPr>
            </w:pPr>
            <w:r>
              <w:rPr>
                <w:rFonts w:hint="eastAsia"/>
                <w:color w:val="auto"/>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5623622">
            <w:pPr>
              <w:widowControl/>
              <w:spacing w:after="180"/>
              <w:jc w:val="center"/>
              <w:rPr>
                <w:color w:val="auto"/>
              </w:rPr>
            </w:pPr>
            <w:r>
              <w:rPr>
                <w:rFonts w:hint="eastAsia"/>
                <w:color w:val="auto"/>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E3405C5">
            <w:pPr>
              <w:widowControl/>
              <w:spacing w:after="180"/>
              <w:jc w:val="center"/>
              <w:rPr>
                <w:color w:val="auto"/>
              </w:rPr>
            </w:pPr>
            <w:r>
              <w:rPr>
                <w:rFonts w:hint="eastAsia"/>
                <w:color w:val="auto"/>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546C355">
            <w:pPr>
              <w:widowControl/>
              <w:spacing w:after="180"/>
              <w:jc w:val="center"/>
              <w:rPr>
                <w:color w:val="auto"/>
              </w:rPr>
            </w:pPr>
            <w:r>
              <w:rPr>
                <w:rFonts w:hint="eastAsia"/>
                <w:color w:val="auto"/>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F8677AF">
            <w:pPr>
              <w:widowControl/>
              <w:spacing w:after="180"/>
              <w:rPr>
                <w:color w:val="auto"/>
              </w:rPr>
            </w:pPr>
            <w:r>
              <w:rPr>
                <w:rFonts w:hint="eastAsia"/>
                <w:color w:val="auto"/>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0431120">
            <w:pPr>
              <w:widowControl/>
              <w:spacing w:after="180"/>
              <w:jc w:val="center"/>
              <w:rPr>
                <w:color w:val="auto"/>
              </w:rPr>
            </w:pPr>
            <w:r>
              <w:rPr>
                <w:rFonts w:hint="eastAsia"/>
                <w:color w:val="auto"/>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66586D9">
            <w:pPr>
              <w:widowControl/>
              <w:spacing w:after="180"/>
              <w:jc w:val="center"/>
              <w:rPr>
                <w:color w:val="auto"/>
              </w:rPr>
            </w:pPr>
            <w:r>
              <w:rPr>
                <w:rFonts w:hint="eastAsia"/>
                <w:color w:val="auto"/>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4B9A20F0">
            <w:pPr>
              <w:widowControl/>
              <w:spacing w:after="180"/>
              <w:jc w:val="center"/>
              <w:rPr>
                <w:color w:val="auto"/>
              </w:rPr>
            </w:pPr>
            <w:r>
              <w:rPr>
                <w:rFonts w:hint="eastAsia"/>
                <w:color w:val="auto"/>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12067CF5">
            <w:pPr>
              <w:widowControl/>
              <w:spacing w:after="180"/>
              <w:jc w:val="center"/>
              <w:rPr>
                <w:color w:val="auto"/>
              </w:rPr>
            </w:pPr>
            <w:r>
              <w:rPr>
                <w:rFonts w:hint="eastAsia"/>
                <w:color w:val="auto"/>
              </w:rPr>
              <w:t>0</w:t>
            </w:r>
          </w:p>
        </w:tc>
      </w:tr>
    </w:tbl>
    <w:p w14:paraId="76D10191">
      <w:pPr>
        <w:pStyle w:val="2"/>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560" w:lineRule="exact"/>
        <w:ind w:firstLine="620" w:firstLineChars="200"/>
        <w:textAlignment w:val="auto"/>
        <w:rPr>
          <w:rFonts w:hint="eastAsia" w:ascii="黑体" w:hAnsi="宋体" w:eastAsia="黑体" w:cs="黑体"/>
          <w:color w:val="auto"/>
          <w:sz w:val="31"/>
          <w:szCs w:val="31"/>
          <w:shd w:val="clear" w:color="auto" w:fill="FFFFFF"/>
        </w:rPr>
      </w:pPr>
      <w:r>
        <w:rPr>
          <w:rFonts w:hint="eastAsia" w:ascii="黑体" w:hAnsi="宋体" w:eastAsia="黑体" w:cs="黑体"/>
          <w:color w:val="auto"/>
          <w:sz w:val="31"/>
          <w:szCs w:val="31"/>
          <w:shd w:val="clear" w:color="auto" w:fill="FFFFFF"/>
        </w:rPr>
        <w:t>存在的主要问题及改进情况</w:t>
      </w:r>
    </w:p>
    <w:p w14:paraId="65752026">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620" w:firstLineChars="200"/>
        <w:jc w:val="left"/>
        <w:textAlignment w:val="auto"/>
        <w:rPr>
          <w:rFonts w:hint="eastAsia" w:ascii="仿宋_GB2312" w:hAnsi="仿宋_GB2312" w:eastAsia="仿宋_GB2312" w:cs="仿宋_GB2312"/>
          <w:color w:val="auto"/>
          <w:sz w:val="31"/>
          <w:szCs w:val="31"/>
          <w:shd w:val="clear" w:color="auto" w:fill="FFFFFF"/>
        </w:rPr>
      </w:pPr>
      <w:r>
        <w:rPr>
          <w:rFonts w:hint="eastAsia" w:ascii="楷体_GB2312" w:hAnsi="楷体_GB2312" w:eastAsia="楷体_GB2312" w:cs="楷体_GB2312"/>
          <w:color w:val="auto"/>
          <w:sz w:val="31"/>
          <w:szCs w:val="31"/>
          <w:shd w:val="clear" w:color="auto" w:fill="FFFFFF"/>
          <w:lang w:eastAsia="zh-CN"/>
        </w:rPr>
        <w:t>（一）</w:t>
      </w:r>
      <w:r>
        <w:rPr>
          <w:rFonts w:hint="eastAsia" w:ascii="楷体_GB2312" w:hAnsi="楷体_GB2312" w:eastAsia="楷体_GB2312" w:cs="楷体_GB2312"/>
          <w:color w:val="auto"/>
          <w:sz w:val="31"/>
          <w:szCs w:val="31"/>
          <w:shd w:val="clear" w:color="auto" w:fill="FFFFFF"/>
        </w:rPr>
        <w:t>应急类信息公开响应滞后</w:t>
      </w:r>
      <w:r>
        <w:rPr>
          <w:rFonts w:hint="eastAsia" w:ascii="楷体_GB2312" w:hAnsi="楷体_GB2312" w:eastAsia="楷体_GB2312" w:cs="楷体_GB2312"/>
          <w:color w:val="auto"/>
          <w:sz w:val="31"/>
          <w:szCs w:val="31"/>
          <w:shd w:val="clear" w:color="auto" w:fill="FFFFFF"/>
          <w:lang w:eastAsia="zh-CN"/>
        </w:rPr>
        <w:t>。</w:t>
      </w:r>
      <w:r>
        <w:rPr>
          <w:rFonts w:hint="eastAsia" w:ascii="仿宋_GB2312" w:hAnsi="仿宋_GB2312" w:eastAsia="仿宋_GB2312" w:cs="仿宋_GB2312"/>
          <w:color w:val="auto"/>
          <w:sz w:val="31"/>
          <w:szCs w:val="31"/>
          <w:shd w:val="clear" w:color="auto" w:fill="FFFFFF"/>
        </w:rPr>
        <w:t>针对突发事项、重要政策文件等需即时公开的信息，尚未形成标准化快速发布流程，部分信息在审批流转、内容校核环节耗时较长，未能实现 “第一时间发布、第一时间解读”。</w:t>
      </w:r>
    </w:p>
    <w:p w14:paraId="72B00AB8">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620" w:firstLineChars="200"/>
        <w:jc w:val="left"/>
        <w:textAlignment w:val="auto"/>
        <w:rPr>
          <w:rFonts w:hint="eastAsia" w:ascii="仿宋_GB2312" w:hAnsi="仿宋_GB2312" w:eastAsia="仿宋_GB2312" w:cs="仿宋_GB2312"/>
          <w:color w:val="auto"/>
          <w:sz w:val="31"/>
          <w:szCs w:val="31"/>
          <w:shd w:val="clear" w:color="auto" w:fill="FFFFFF"/>
        </w:rPr>
      </w:pPr>
      <w:r>
        <w:rPr>
          <w:rFonts w:hint="eastAsia" w:ascii="楷体_GB2312" w:hAnsi="楷体_GB2312" w:eastAsia="楷体_GB2312" w:cs="楷体_GB2312"/>
          <w:color w:val="auto"/>
          <w:sz w:val="31"/>
          <w:szCs w:val="31"/>
          <w:shd w:val="clear" w:color="auto" w:fill="FFFFFF"/>
          <w:lang w:eastAsia="zh-CN"/>
        </w:rPr>
        <w:t>（二）</w:t>
      </w:r>
      <w:r>
        <w:rPr>
          <w:rFonts w:hint="eastAsia" w:ascii="楷体_GB2312" w:hAnsi="楷体_GB2312" w:eastAsia="楷体_GB2312" w:cs="楷体_GB2312"/>
          <w:color w:val="auto"/>
          <w:sz w:val="31"/>
          <w:szCs w:val="31"/>
          <w:shd w:val="clear" w:color="auto" w:fill="FFFFFF"/>
        </w:rPr>
        <w:t>公开内容精准度与深度不足</w:t>
      </w:r>
      <w:r>
        <w:rPr>
          <w:rFonts w:hint="eastAsia" w:ascii="楷体_GB2312" w:hAnsi="楷体_GB2312" w:eastAsia="楷体_GB2312" w:cs="楷体_GB2312"/>
          <w:color w:val="auto"/>
          <w:sz w:val="31"/>
          <w:szCs w:val="31"/>
          <w:shd w:val="clear" w:color="auto" w:fill="FFFFFF"/>
          <w:lang w:eastAsia="zh-CN"/>
        </w:rPr>
        <w:t>。</w:t>
      </w:r>
      <w:r>
        <w:rPr>
          <w:rFonts w:hint="eastAsia" w:ascii="仿宋_GB2312" w:hAnsi="仿宋_GB2312" w:eastAsia="仿宋_GB2312" w:cs="仿宋_GB2312"/>
          <w:color w:val="auto"/>
          <w:sz w:val="31"/>
          <w:szCs w:val="31"/>
          <w:shd w:val="clear" w:color="auto" w:fill="FFFFFF"/>
        </w:rPr>
        <w:t>一是部分公开信息存在 “重形式、轻实质” 现象，核心数据、关键流程、适用范围等重点内容披露不充分，与公众实际需求契合度不高；二是政策解读形式单一，多以文字原文为主，缺乏案例分析、图文解读、问答互动等通俗化呈现方式。</w:t>
      </w:r>
    </w:p>
    <w:p w14:paraId="6FBA2F20">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620" w:firstLineChars="200"/>
        <w:jc w:val="left"/>
        <w:textAlignment w:val="auto"/>
        <w:rPr>
          <w:rFonts w:hint="eastAsia" w:ascii="仿宋_GB2312" w:hAnsi="仿宋_GB2312" w:eastAsia="仿宋_GB2312" w:cs="仿宋_GB2312"/>
          <w:color w:val="auto"/>
          <w:sz w:val="31"/>
          <w:szCs w:val="31"/>
          <w:shd w:val="clear" w:color="auto" w:fill="FFFFFF"/>
        </w:rPr>
      </w:pPr>
      <w:r>
        <w:rPr>
          <w:rFonts w:hint="eastAsia" w:ascii="仿宋_GB2312" w:hAnsi="仿宋_GB2312" w:eastAsia="仿宋_GB2312" w:cs="仿宋_GB2312"/>
          <w:color w:val="auto"/>
          <w:sz w:val="31"/>
          <w:szCs w:val="31"/>
          <w:shd w:val="clear" w:color="auto" w:fill="FFFFFF"/>
        </w:rPr>
        <w:t>针对这些问题，改进措施包括：建立应急信息快速发布机制，明确紧急情况下简化审批流程，确保核心事实第一时间发布；优化公开内容质量，优先披露公众关心的核心数据和关键流程，减少形式化内容；创新政策解读方式，采用案例分析、信息图、在线问答等形式，提升政策解读的通俗性和可接受性。</w:t>
      </w:r>
    </w:p>
    <w:p w14:paraId="345B70ED">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20" w:firstLineChars="200"/>
        <w:jc w:val="both"/>
        <w:textAlignment w:val="auto"/>
        <w:rPr>
          <w:color w:val="auto"/>
        </w:rPr>
      </w:pPr>
      <w:r>
        <w:rPr>
          <w:rFonts w:hint="eastAsia" w:ascii="黑体" w:hAnsi="宋体" w:eastAsia="黑体" w:cs="黑体"/>
          <w:color w:val="auto"/>
          <w:sz w:val="31"/>
          <w:szCs w:val="31"/>
          <w:shd w:val="clear" w:color="auto" w:fill="FFFFFF"/>
        </w:rPr>
        <w:t>六、其他需要报告的事项</w:t>
      </w:r>
    </w:p>
    <w:p w14:paraId="5B9C20FC">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20" w:firstLineChars="200"/>
        <w:textAlignment w:val="auto"/>
        <w:rPr>
          <w:color w:val="auto"/>
        </w:rPr>
      </w:pPr>
      <w:r>
        <w:rPr>
          <w:rFonts w:hint="eastAsia" w:ascii="楷体_GB2312" w:hAnsi="楷体_GB2312" w:eastAsia="楷体_GB2312" w:cs="楷体_GB2312"/>
          <w:color w:val="auto"/>
          <w:sz w:val="31"/>
          <w:szCs w:val="31"/>
          <w:shd w:val="clear" w:color="auto" w:fill="FFFFFF"/>
        </w:rPr>
        <w:t>1.收取信息处理费情况。</w:t>
      </w:r>
      <w:r>
        <w:rPr>
          <w:rFonts w:hint="eastAsia" w:ascii="仿宋_GB2312" w:eastAsia="仿宋_GB2312" w:cs="仿宋_GB2312"/>
          <w:color w:val="auto"/>
          <w:sz w:val="31"/>
          <w:szCs w:val="31"/>
          <w:shd w:val="clear" w:color="auto" w:fill="FFFFFF"/>
        </w:rPr>
        <w:t>依据《政府信息公开信息处理费管理办法》，区医疗保障局全年没有收取信息公开处理费。</w:t>
      </w:r>
    </w:p>
    <w:p w14:paraId="64420C9F">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20" w:firstLineChars="200"/>
        <w:textAlignment w:val="auto"/>
        <w:rPr>
          <w:color w:val="auto"/>
        </w:rPr>
      </w:pPr>
      <w:r>
        <w:rPr>
          <w:rFonts w:hint="eastAsia" w:ascii="楷体_GB2312" w:hAnsi="楷体_GB2312" w:eastAsia="楷体_GB2312" w:cs="楷体_GB2312"/>
          <w:color w:val="auto"/>
          <w:sz w:val="31"/>
          <w:szCs w:val="31"/>
          <w:shd w:val="clear" w:color="auto" w:fill="FFFFFF"/>
        </w:rPr>
        <w:t>2.落实上级年度政务公开工作要点情况。</w:t>
      </w:r>
      <w:r>
        <w:rPr>
          <w:rFonts w:hint="eastAsia" w:ascii="仿宋_GB2312" w:eastAsia="仿宋_GB2312" w:cs="仿宋_GB2312"/>
          <w:color w:val="auto"/>
          <w:sz w:val="31"/>
          <w:szCs w:val="31"/>
          <w:shd w:val="clear" w:color="auto" w:fill="FFFFFF"/>
        </w:rPr>
        <w:t>区医疗保障局严格按照</w:t>
      </w:r>
      <w:r>
        <w:rPr>
          <w:rFonts w:hint="eastAsia" w:ascii="仿宋_GB2312" w:eastAsia="仿宋_GB2312" w:cs="仿宋_GB2312"/>
          <w:color w:val="auto"/>
          <w:sz w:val="31"/>
          <w:szCs w:val="31"/>
          <w:shd w:val="clear" w:color="auto" w:fill="FFFFFF"/>
          <w:lang w:val="en-US" w:eastAsia="zh-CN"/>
        </w:rPr>
        <w:t>上级</w:t>
      </w:r>
      <w:r>
        <w:rPr>
          <w:rFonts w:hint="eastAsia" w:ascii="仿宋_GB2312" w:eastAsia="仿宋_GB2312" w:cs="仿宋_GB2312"/>
          <w:color w:val="auto"/>
          <w:sz w:val="31"/>
          <w:szCs w:val="31"/>
          <w:shd w:val="clear" w:color="auto" w:fill="FFFFFF"/>
        </w:rPr>
        <w:t>要求，结合医疗保障领域工作实际，对</w:t>
      </w:r>
      <w:r>
        <w:rPr>
          <w:rFonts w:hint="eastAsia" w:ascii="仿宋_GB2312" w:eastAsia="仿宋_GB2312" w:cs="仿宋_GB2312"/>
          <w:color w:val="auto"/>
          <w:sz w:val="31"/>
          <w:szCs w:val="31"/>
          <w:shd w:val="clear" w:color="auto" w:fill="FFFFFF"/>
          <w:lang w:val="en-US" w:eastAsia="zh-CN"/>
        </w:rPr>
        <w:t>年度</w:t>
      </w:r>
      <w:r>
        <w:rPr>
          <w:rFonts w:hint="eastAsia" w:ascii="仿宋_GB2312" w:eastAsia="仿宋_GB2312" w:cs="仿宋_GB2312"/>
          <w:color w:val="auto"/>
          <w:sz w:val="31"/>
          <w:szCs w:val="31"/>
          <w:shd w:val="clear" w:color="auto" w:fill="FFFFFF"/>
        </w:rPr>
        <w:t>政务公开重点工作任务进行分工，科学制定工作要点，有序推进政务公开工作。</w:t>
      </w:r>
    </w:p>
    <w:p w14:paraId="6F28D1ED">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20" w:firstLineChars="200"/>
        <w:textAlignment w:val="auto"/>
        <w:rPr>
          <w:rFonts w:hint="eastAsia" w:ascii="仿宋_GB2312" w:eastAsia="仿宋_GB2312" w:cs="仿宋_GB2312"/>
          <w:color w:val="auto"/>
          <w:sz w:val="31"/>
          <w:szCs w:val="31"/>
          <w:shd w:val="clear" w:color="auto" w:fill="FFFFFF"/>
        </w:rPr>
      </w:pPr>
      <w:r>
        <w:rPr>
          <w:rFonts w:hint="eastAsia" w:ascii="楷体_GB2312" w:hAnsi="楷体_GB2312" w:eastAsia="楷体_GB2312" w:cs="楷体_GB2312"/>
          <w:color w:val="auto"/>
          <w:sz w:val="31"/>
          <w:szCs w:val="31"/>
          <w:shd w:val="clear" w:color="auto" w:fill="FFFFFF"/>
        </w:rPr>
        <w:t>3.人大代表建议和政协提案办理</w:t>
      </w:r>
      <w:r>
        <w:rPr>
          <w:rFonts w:hint="eastAsia" w:ascii="楷体_GB2312" w:hAnsi="楷体_GB2312" w:eastAsia="楷体_GB2312" w:cs="楷体_GB2312"/>
          <w:color w:val="auto"/>
          <w:sz w:val="31"/>
          <w:szCs w:val="31"/>
          <w:shd w:val="clear" w:color="auto" w:fill="FFFFFF"/>
          <w:lang w:val="en-US" w:eastAsia="zh-CN"/>
        </w:rPr>
        <w:t>结果公开</w:t>
      </w:r>
      <w:r>
        <w:rPr>
          <w:rFonts w:hint="eastAsia" w:ascii="楷体_GB2312" w:hAnsi="楷体_GB2312" w:eastAsia="楷体_GB2312" w:cs="楷体_GB2312"/>
          <w:color w:val="auto"/>
          <w:sz w:val="31"/>
          <w:szCs w:val="31"/>
          <w:shd w:val="clear" w:color="auto" w:fill="FFFFFF"/>
        </w:rPr>
        <w:t>情况。</w:t>
      </w:r>
      <w:r>
        <w:rPr>
          <w:rFonts w:hint="eastAsia" w:ascii="仿宋_GB2312" w:eastAsia="仿宋_GB2312" w:cs="仿宋_GB2312"/>
          <w:color w:val="auto"/>
          <w:sz w:val="31"/>
          <w:szCs w:val="31"/>
          <w:shd w:val="clear" w:color="auto" w:fill="FFFFFF"/>
        </w:rPr>
        <w:t>区医疗保障局全年共收到区级人大建议</w:t>
      </w:r>
      <w:r>
        <w:rPr>
          <w:rFonts w:hint="eastAsia" w:ascii="仿宋_GB2312" w:eastAsia="仿宋_GB2312" w:cs="仿宋_GB2312"/>
          <w:color w:val="auto"/>
          <w:sz w:val="31"/>
          <w:szCs w:val="31"/>
          <w:shd w:val="clear" w:color="auto" w:fill="FFFFFF"/>
          <w:lang w:val="en-US" w:eastAsia="zh-CN"/>
        </w:rPr>
        <w:t>2</w:t>
      </w:r>
      <w:r>
        <w:rPr>
          <w:rFonts w:hint="eastAsia" w:ascii="仿宋_GB2312" w:eastAsia="仿宋_GB2312" w:cs="仿宋_GB2312"/>
          <w:color w:val="auto"/>
          <w:sz w:val="31"/>
          <w:szCs w:val="31"/>
          <w:shd w:val="clear" w:color="auto" w:fill="FFFFFF"/>
        </w:rPr>
        <w:t>件。办理结果</w:t>
      </w:r>
      <w:r>
        <w:rPr>
          <w:rFonts w:hint="eastAsia" w:ascii="仿宋_GB2312" w:eastAsia="仿宋_GB2312" w:cs="仿宋_GB2312"/>
          <w:color w:val="auto"/>
          <w:sz w:val="31"/>
          <w:szCs w:val="31"/>
          <w:shd w:val="clear" w:color="auto" w:fill="FFFFFF"/>
          <w:lang w:val="en-US" w:eastAsia="zh-CN"/>
        </w:rPr>
        <w:t>已</w:t>
      </w:r>
      <w:r>
        <w:rPr>
          <w:rFonts w:hint="eastAsia" w:ascii="仿宋_GB2312" w:eastAsia="仿宋_GB2312" w:cs="仿宋_GB2312"/>
          <w:color w:val="auto"/>
          <w:sz w:val="31"/>
          <w:szCs w:val="31"/>
          <w:shd w:val="clear" w:color="auto" w:fill="FFFFFF"/>
        </w:rPr>
        <w:t>及时在区政府网站信息公开版块进行公开。</w:t>
      </w:r>
    </w:p>
    <w:p w14:paraId="01C3CB95">
      <w:pPr>
        <w:keepNext w:val="0"/>
        <w:keepLines w:val="0"/>
        <w:pageBreakBefore w:val="0"/>
        <w:shd w:val="clear" w:color="auto" w:fill="auto"/>
        <w:kinsoku/>
        <w:wordWrap/>
        <w:overflowPunct/>
        <w:topLinePunct w:val="0"/>
        <w:autoSpaceDE/>
        <w:autoSpaceDN/>
        <w:bidi w:val="0"/>
        <w:adjustRightInd/>
        <w:snapToGrid/>
        <w:spacing w:line="560" w:lineRule="exact"/>
        <w:ind w:firstLine="620" w:firstLineChars="200"/>
        <w:textAlignment w:val="auto"/>
        <w:rPr>
          <w:rFonts w:hint="eastAsia" w:ascii="仿宋_GB2312" w:hAnsi="仿宋_GB2312" w:eastAsia="仿宋_GB2312" w:cs="仿宋_GB2312"/>
          <w:color w:val="auto"/>
          <w:sz w:val="31"/>
          <w:szCs w:val="31"/>
          <w:shd w:val="clear" w:color="auto" w:fill="FFFFFF"/>
          <w:lang w:val="en-US" w:eastAsia="zh-CN"/>
        </w:rPr>
      </w:pPr>
      <w:r>
        <w:rPr>
          <w:rFonts w:hint="eastAsia" w:ascii="楷体_GB2312" w:hAnsi="楷体_GB2312" w:eastAsia="楷体_GB2312" w:cs="楷体_GB2312"/>
          <w:color w:val="auto"/>
          <w:kern w:val="0"/>
          <w:sz w:val="31"/>
          <w:szCs w:val="31"/>
          <w:shd w:val="clear" w:color="auto" w:fill="FFFFFF"/>
          <w:lang w:val="en-US" w:eastAsia="zh-CN" w:bidi="ar"/>
        </w:rPr>
        <w:t>4.政务公开工作创新情况。</w:t>
      </w:r>
      <w:r>
        <w:rPr>
          <w:rFonts w:hint="eastAsia" w:ascii="仿宋_GB2312" w:eastAsia="仿宋_GB2312" w:cs="仿宋_GB2312"/>
          <w:color w:val="auto"/>
          <w:sz w:val="31"/>
          <w:szCs w:val="31"/>
          <w:shd w:val="clear" w:color="auto" w:fill="FFFFFF"/>
          <w:lang w:val="en-US" w:eastAsia="zh-CN"/>
        </w:rPr>
        <w:t>区医疗保障局扎实推进政务公开工作，积极创新宣传手段，丰富政策解读途径，通过“医保赶大集”等形式，为群众提供更方便的医疗保障服务。</w:t>
      </w:r>
    </w:p>
    <w:p w14:paraId="3CF85609">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20" w:firstLineChars="200"/>
        <w:textAlignment w:val="auto"/>
        <w:rPr>
          <w:color w:val="auto"/>
        </w:rPr>
      </w:pPr>
      <w:r>
        <w:rPr>
          <w:rFonts w:hint="eastAsia" w:ascii="楷体_GB2312" w:hAnsi="楷体_GB2312" w:eastAsia="楷体_GB2312" w:cs="楷体_GB2312"/>
          <w:color w:val="auto"/>
          <w:sz w:val="31"/>
          <w:szCs w:val="31"/>
          <w:shd w:val="clear" w:color="auto" w:fill="FFFFFF"/>
        </w:rPr>
        <w:t>5.本行政机关政府信息公开工作年度报告数据统计需要说明的事项</w:t>
      </w:r>
      <w:r>
        <w:rPr>
          <w:rFonts w:hint="eastAsia" w:ascii="楷体_GB2312" w:hAnsi="楷体_GB2312" w:eastAsia="楷体_GB2312" w:cs="楷体_GB2312"/>
          <w:color w:val="auto"/>
          <w:sz w:val="31"/>
          <w:szCs w:val="31"/>
          <w:shd w:val="clear" w:color="auto" w:fill="FFFFFF"/>
          <w:lang w:eastAsia="zh-CN"/>
        </w:rPr>
        <w:t>：</w:t>
      </w:r>
      <w:r>
        <w:rPr>
          <w:rFonts w:hint="eastAsia" w:ascii="仿宋_GB2312" w:eastAsia="仿宋_GB2312" w:cs="仿宋_GB2312"/>
          <w:color w:val="auto"/>
          <w:sz w:val="31"/>
          <w:szCs w:val="31"/>
          <w:shd w:val="clear" w:color="auto" w:fill="FFFFFF"/>
        </w:rPr>
        <w:t>本报告中所列数据的统计期限为</w:t>
      </w:r>
      <w:r>
        <w:rPr>
          <w:rFonts w:hint="eastAsia" w:ascii="仿宋_GB2312" w:eastAsia="仿宋_GB2312" w:cs="仿宋_GB2312"/>
          <w:color w:val="auto"/>
          <w:sz w:val="31"/>
          <w:szCs w:val="31"/>
          <w:shd w:val="clear" w:color="auto" w:fill="FFFFFF"/>
          <w:lang w:eastAsia="zh-CN"/>
        </w:rPr>
        <w:t>202</w:t>
      </w:r>
      <w:r>
        <w:rPr>
          <w:rFonts w:hint="eastAsia" w:ascii="仿宋_GB2312" w:eastAsia="仿宋_GB2312" w:cs="仿宋_GB2312"/>
          <w:color w:val="auto"/>
          <w:sz w:val="31"/>
          <w:szCs w:val="31"/>
          <w:shd w:val="clear" w:color="auto" w:fill="FFFFFF"/>
          <w:lang w:val="en-US" w:eastAsia="zh-CN"/>
        </w:rPr>
        <w:t>5</w:t>
      </w:r>
      <w:r>
        <w:rPr>
          <w:rFonts w:hint="eastAsia" w:ascii="仿宋_GB2312" w:eastAsia="仿宋_GB2312" w:cs="仿宋_GB2312"/>
          <w:color w:val="auto"/>
          <w:sz w:val="31"/>
          <w:szCs w:val="31"/>
          <w:shd w:val="clear" w:color="auto" w:fill="FFFFFF"/>
        </w:rPr>
        <w:t>年1月1日至</w:t>
      </w:r>
      <w:r>
        <w:rPr>
          <w:rFonts w:hint="eastAsia" w:ascii="仿宋_GB2312" w:eastAsia="仿宋_GB2312" w:cs="仿宋_GB2312"/>
          <w:color w:val="auto"/>
          <w:sz w:val="31"/>
          <w:szCs w:val="31"/>
          <w:shd w:val="clear" w:color="auto" w:fill="FFFFFF"/>
          <w:lang w:eastAsia="zh-CN"/>
        </w:rPr>
        <w:t>202</w:t>
      </w:r>
      <w:r>
        <w:rPr>
          <w:rFonts w:hint="eastAsia" w:ascii="仿宋_GB2312" w:eastAsia="仿宋_GB2312" w:cs="仿宋_GB2312"/>
          <w:color w:val="auto"/>
          <w:sz w:val="31"/>
          <w:szCs w:val="31"/>
          <w:shd w:val="clear" w:color="auto" w:fill="FFFFFF"/>
          <w:lang w:val="en-US" w:eastAsia="zh-CN"/>
        </w:rPr>
        <w:t>5</w:t>
      </w:r>
      <w:r>
        <w:rPr>
          <w:rFonts w:hint="eastAsia" w:ascii="仿宋_GB2312" w:eastAsia="仿宋_GB2312" w:cs="仿宋_GB2312"/>
          <w:color w:val="auto"/>
          <w:sz w:val="31"/>
          <w:szCs w:val="31"/>
          <w:shd w:val="clear" w:color="auto" w:fill="FFFFFF"/>
        </w:rPr>
        <w:t>年12月31日。</w:t>
      </w:r>
    </w:p>
    <w:p w14:paraId="43CAF2F6">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20" w:firstLineChars="200"/>
        <w:textAlignment w:val="auto"/>
        <w:rPr>
          <w:color w:val="auto"/>
        </w:rPr>
      </w:pPr>
      <w:r>
        <w:rPr>
          <w:rFonts w:hint="eastAsia" w:ascii="楷体_GB2312" w:hAnsi="楷体_GB2312" w:eastAsia="楷体_GB2312" w:cs="楷体_GB2312"/>
          <w:color w:val="auto"/>
          <w:sz w:val="31"/>
          <w:szCs w:val="31"/>
          <w:shd w:val="clear" w:color="auto" w:fill="FFFFFF"/>
        </w:rPr>
        <w:t>6.本行政机关认为需要报告的其他事项</w:t>
      </w:r>
      <w:r>
        <w:rPr>
          <w:rFonts w:hint="eastAsia" w:ascii="楷体_GB2312" w:hAnsi="楷体_GB2312" w:eastAsia="楷体_GB2312" w:cs="楷体_GB2312"/>
          <w:color w:val="auto"/>
          <w:sz w:val="31"/>
          <w:szCs w:val="31"/>
          <w:shd w:val="clear" w:color="auto" w:fill="FFFFFF"/>
          <w:lang w:eastAsia="zh-CN"/>
        </w:rPr>
        <w:t>：</w:t>
      </w:r>
      <w:r>
        <w:rPr>
          <w:rFonts w:hint="eastAsia" w:ascii="仿宋_GB2312" w:eastAsia="仿宋_GB2312" w:cs="仿宋_GB2312"/>
          <w:color w:val="auto"/>
          <w:sz w:val="31"/>
          <w:szCs w:val="31"/>
          <w:shd w:val="clear" w:color="auto" w:fill="FFFFFF"/>
          <w:lang w:val="en-US" w:eastAsia="zh-CN"/>
        </w:rPr>
        <w:t>无</w:t>
      </w:r>
      <w:r>
        <w:rPr>
          <w:rFonts w:hint="eastAsia" w:ascii="仿宋_GB2312" w:eastAsia="仿宋_GB2312" w:cs="仿宋_GB2312"/>
          <w:color w:val="auto"/>
          <w:sz w:val="31"/>
          <w:szCs w:val="31"/>
          <w:shd w:val="clear" w:color="auto" w:fill="FFFFFF"/>
        </w:rPr>
        <w:t>。</w:t>
      </w:r>
    </w:p>
    <w:p w14:paraId="7D40E693">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20" w:firstLineChars="200"/>
        <w:textAlignment w:val="auto"/>
        <w:rPr>
          <w:color w:val="auto"/>
        </w:rPr>
      </w:pPr>
      <w:r>
        <w:rPr>
          <w:rFonts w:hint="eastAsia" w:ascii="楷体_GB2312" w:hAnsi="楷体_GB2312" w:eastAsia="楷体_GB2312" w:cs="楷体_GB2312"/>
          <w:color w:val="auto"/>
          <w:sz w:val="31"/>
          <w:szCs w:val="31"/>
          <w:shd w:val="clear" w:color="auto" w:fill="FFFFFF"/>
        </w:rPr>
        <w:t>7.其他有关文件专门要求通过政府信息公开工作年度报告予以报告的事项</w:t>
      </w:r>
      <w:r>
        <w:rPr>
          <w:rFonts w:hint="eastAsia" w:ascii="楷体_GB2312" w:hAnsi="楷体_GB2312" w:eastAsia="楷体_GB2312" w:cs="楷体_GB2312"/>
          <w:color w:val="auto"/>
          <w:sz w:val="31"/>
          <w:szCs w:val="31"/>
          <w:shd w:val="clear" w:color="auto" w:fill="FFFFFF"/>
          <w:lang w:eastAsia="zh-CN"/>
        </w:rPr>
        <w:t>：</w:t>
      </w:r>
      <w:r>
        <w:rPr>
          <w:rFonts w:hint="eastAsia" w:ascii="仿宋_GB2312" w:eastAsia="仿宋_GB2312" w:cs="仿宋_GB2312"/>
          <w:color w:val="auto"/>
          <w:sz w:val="31"/>
          <w:szCs w:val="31"/>
          <w:shd w:val="clear" w:color="auto" w:fill="FFFFFF"/>
          <w:lang w:val="en-US" w:eastAsia="zh-CN"/>
        </w:rPr>
        <w:t>无</w:t>
      </w:r>
      <w:r>
        <w:rPr>
          <w:rFonts w:hint="eastAsia" w:ascii="仿宋_GB2312" w:eastAsia="仿宋_GB2312" w:cs="仿宋_GB2312"/>
          <w:color w:val="auto"/>
          <w:sz w:val="31"/>
          <w:szCs w:val="31"/>
          <w:shd w:val="clear" w:color="auto" w:fill="FFFFFF"/>
        </w:rPr>
        <w:t>。</w:t>
      </w:r>
    </w:p>
    <w:p w14:paraId="6E2A3FDE">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20" w:firstLineChars="200"/>
        <w:jc w:val="right"/>
        <w:textAlignment w:val="auto"/>
        <w:rPr>
          <w:rFonts w:hint="eastAsia" w:ascii="仿宋_GB2312" w:eastAsia="仿宋_GB2312" w:cs="仿宋_GB2312"/>
          <w:color w:val="auto"/>
          <w:sz w:val="31"/>
          <w:szCs w:val="31"/>
        </w:rPr>
      </w:pPr>
    </w:p>
    <w:p w14:paraId="19B331A7">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20" w:firstLineChars="200"/>
        <w:jc w:val="right"/>
        <w:textAlignment w:val="auto"/>
        <w:rPr>
          <w:color w:val="auto"/>
        </w:rPr>
      </w:pPr>
      <w:r>
        <w:rPr>
          <w:rFonts w:hint="eastAsia" w:ascii="仿宋_GB2312" w:eastAsia="仿宋_GB2312" w:cs="仿宋_GB2312"/>
          <w:color w:val="auto"/>
          <w:sz w:val="31"/>
          <w:szCs w:val="31"/>
        </w:rPr>
        <w:t>台儿庄区医疗保障局</w:t>
      </w:r>
    </w:p>
    <w:p w14:paraId="2AA82C0D">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20" w:firstLineChars="200"/>
        <w:jc w:val="right"/>
        <w:textAlignment w:val="auto"/>
        <w:rPr>
          <w:color w:val="auto"/>
        </w:rPr>
      </w:pPr>
      <w:r>
        <w:rPr>
          <w:rFonts w:hint="eastAsia" w:ascii="仿宋_GB2312" w:eastAsia="仿宋_GB2312" w:cs="仿宋_GB2312"/>
          <w:color w:val="auto"/>
          <w:sz w:val="31"/>
          <w:szCs w:val="31"/>
        </w:rPr>
        <w:t>202</w:t>
      </w:r>
      <w:r>
        <w:rPr>
          <w:rFonts w:hint="eastAsia" w:ascii="仿宋_GB2312" w:eastAsia="仿宋_GB2312" w:cs="仿宋_GB2312"/>
          <w:color w:val="auto"/>
          <w:sz w:val="31"/>
          <w:szCs w:val="31"/>
          <w:lang w:val="en-US" w:eastAsia="zh-CN"/>
        </w:rPr>
        <w:t>5</w:t>
      </w:r>
      <w:r>
        <w:rPr>
          <w:rFonts w:hint="eastAsia" w:ascii="仿宋_GB2312" w:eastAsia="仿宋_GB2312" w:cs="仿宋_GB2312"/>
          <w:color w:val="auto"/>
          <w:sz w:val="31"/>
          <w:szCs w:val="31"/>
        </w:rPr>
        <w:t>年1月</w:t>
      </w:r>
      <w:r>
        <w:rPr>
          <w:rFonts w:hint="eastAsia" w:ascii="仿宋_GB2312" w:eastAsia="仿宋_GB2312" w:cs="仿宋_GB2312"/>
          <w:color w:val="auto"/>
          <w:sz w:val="31"/>
          <w:szCs w:val="31"/>
          <w:lang w:val="en-US" w:eastAsia="zh-CN"/>
        </w:rPr>
        <w:t>15</w:t>
      </w:r>
      <w:r>
        <w:rPr>
          <w:rFonts w:hint="eastAsia" w:ascii="仿宋_GB2312" w:eastAsia="仿宋_GB2312" w:cs="仿宋_GB2312"/>
          <w:color w:val="auto"/>
          <w:sz w:val="31"/>
          <w:szCs w:val="31"/>
        </w:rPr>
        <w:t>日</w:t>
      </w:r>
    </w:p>
    <w:p w14:paraId="19A26DB6">
      <w:pPr>
        <w:pStyle w:val="2"/>
        <w:widowControl/>
        <w:shd w:val="clear" w:color="auto" w:fill="FFFFFF"/>
        <w:spacing w:before="0" w:beforeAutospacing="0" w:after="0" w:afterAutospacing="0" w:line="560" w:lineRule="exact"/>
        <w:ind w:firstLine="620" w:firstLineChars="200"/>
        <w:jc w:val="both"/>
        <w:rPr>
          <w:rFonts w:hint="eastAsia" w:ascii="仿宋_GB2312" w:eastAsia="仿宋_GB2312" w:cs="仿宋_GB2312"/>
          <w:color w:val="auto"/>
          <w:sz w:val="31"/>
          <w:szCs w:val="31"/>
          <w:shd w:val="clear" w:color="auto" w:fill="FFFFFF"/>
          <w:lang w:eastAsia="zh-CN"/>
        </w:rPr>
      </w:pPr>
    </w:p>
    <w:p w14:paraId="61AD57AE">
      <w:pPr>
        <w:pStyle w:val="2"/>
        <w:widowControl/>
        <w:spacing w:before="0" w:beforeAutospacing="0" w:after="0" w:afterAutospacing="0" w:line="560" w:lineRule="exact"/>
        <w:ind w:firstLine="620" w:firstLineChars="200"/>
        <w:jc w:val="both"/>
        <w:rPr>
          <w:rFonts w:hint="eastAsia" w:ascii="仿宋_GB2312" w:eastAsia="仿宋_GB2312" w:cs="仿宋_GB2312"/>
          <w:color w:val="auto"/>
          <w:sz w:val="31"/>
          <w:szCs w:val="31"/>
        </w:rPr>
      </w:pPr>
    </w:p>
    <w:p w14:paraId="6F5071F2">
      <w:pPr>
        <w:rPr>
          <w:color w:val="auto"/>
        </w:rPr>
      </w:pPr>
    </w:p>
    <w:sectPr>
      <w:pgSz w:w="11906" w:h="16838"/>
      <w:pgMar w:top="1984"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951A"/>
    <w:multiLevelType w:val="singleLevel"/>
    <w:tmpl w:val="FFFF951A"/>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6052FC"/>
    <w:rsid w:val="09FB7D94"/>
    <w:rsid w:val="3F9BFC38"/>
    <w:rsid w:val="49C84218"/>
    <w:rsid w:val="4F78C64C"/>
    <w:rsid w:val="5C5FB8C7"/>
    <w:rsid w:val="5CE34377"/>
    <w:rsid w:val="5F6052FC"/>
    <w:rsid w:val="5FEF96EF"/>
    <w:rsid w:val="64F77032"/>
    <w:rsid w:val="6FFFFF6B"/>
    <w:rsid w:val="72F490D1"/>
    <w:rsid w:val="75FA522E"/>
    <w:rsid w:val="7FBEEDF9"/>
    <w:rsid w:val="9C9F35BA"/>
    <w:rsid w:val="A32B9D7D"/>
    <w:rsid w:val="A5E5078E"/>
    <w:rsid w:val="AB77E466"/>
    <w:rsid w:val="AB7FEE16"/>
    <w:rsid w:val="B3FD4E47"/>
    <w:rsid w:val="D6FEAB34"/>
    <w:rsid w:val="DDBE437E"/>
    <w:rsid w:val="DE9D16CA"/>
    <w:rsid w:val="EAFFCB1D"/>
    <w:rsid w:val="F5CE70CB"/>
    <w:rsid w:val="F7FDFFAA"/>
    <w:rsid w:val="FE7FE0CB"/>
    <w:rsid w:val="FE86A22C"/>
    <w:rsid w:val="FEF301DF"/>
    <w:rsid w:val="FF7D147F"/>
    <w:rsid w:val="FFBD1EDD"/>
    <w:rsid w:val="FFBE14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2678</Words>
  <Characters>2799</Characters>
  <Lines>0</Lines>
  <Paragraphs>0</Paragraphs>
  <TotalTime>11</TotalTime>
  <ScaleCrop>false</ScaleCrop>
  <LinksUpToDate>false</LinksUpToDate>
  <CharactersWithSpaces>2802</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2025-01-17T15:04:00Z</dcterms:created>
  <dc:creator>于淼</dc:creator>
  <cp:lastModifiedBy>于淼</cp:lastModifiedBy>
  <cp:lastPrinted>2026-01-17T21:51:00Z</cp:lastPrinted>
  <dcterms:modified xsi:type="dcterms:W3CDTF">2026-01-28T09:02:27Z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59EE355C97000A10B35F79692FB18A1C_43</vt:lpwstr>
  </property>
  <property fmtid="{D5CDD505-2E9C-101B-9397-08002B2CF9AE}" pid="4" name="KSOTemplateDocerSaveRecord">
    <vt:lpwstr>eyJoZGlkIjoiMjA5YzU0YWI5NWNiMThkYjBmZTRiN2MzZTc1YWYxY2QiLCJ1c2VySWQiOiIxNzY4Mzc4MTMxIn0=</vt:lpwstr>
  </property>
</Properties>
</file>