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Autospacing="0" w:afterAutospacing="0" w:line="560" w:lineRule="exact"/>
        <w:jc w:val="center"/>
        <w:rPr>
          <w:rFonts w:ascii="方正小标宋简体" w:hAnsi="新宋体" w:eastAsia="方正小标宋简体" w:cs="新宋体"/>
          <w:bCs/>
          <w:color w:val="333333"/>
          <w:sz w:val="44"/>
          <w:szCs w:val="44"/>
          <w:shd w:val="clear" w:color="auto" w:fill="FFFFFF"/>
        </w:rPr>
      </w:pPr>
      <w:r>
        <w:rPr>
          <w:rFonts w:hint="eastAsia" w:ascii="方正小标宋简体" w:hAnsi="新宋体" w:eastAsia="方正小标宋简体" w:cs="新宋体"/>
          <w:bCs/>
          <w:color w:val="333333"/>
          <w:sz w:val="44"/>
          <w:szCs w:val="44"/>
          <w:shd w:val="clear" w:color="auto" w:fill="FFFFFF"/>
        </w:rPr>
        <w:t>台儿庄区综合行政执法局</w:t>
      </w:r>
    </w:p>
    <w:p>
      <w:pPr>
        <w:pStyle w:val="3"/>
        <w:widowControl/>
        <w:spacing w:beforeAutospacing="0" w:afterAutospacing="0" w:line="560" w:lineRule="exact"/>
        <w:jc w:val="center"/>
        <w:rPr>
          <w:rFonts w:ascii="方正小标宋简体" w:hAnsi="新宋体" w:eastAsia="方正小标宋简体" w:cs="新宋体"/>
          <w:color w:val="000000"/>
          <w:sz w:val="44"/>
          <w:szCs w:val="44"/>
          <w:shd w:val="clear" w:color="auto" w:fill="FFFFFF"/>
        </w:rPr>
      </w:pPr>
      <w:r>
        <w:rPr>
          <w:rFonts w:hint="eastAsia" w:ascii="方正小标宋简体" w:hAnsi="新宋体" w:eastAsia="方正小标宋简体" w:cs="新宋体"/>
          <w:bCs/>
          <w:color w:val="333333"/>
          <w:sz w:val="44"/>
          <w:szCs w:val="44"/>
          <w:shd w:val="clear" w:color="auto" w:fill="FFFFFF"/>
        </w:rPr>
        <w:t>202</w:t>
      </w:r>
      <w:r>
        <w:rPr>
          <w:rFonts w:hint="eastAsia" w:ascii="方正小标宋简体" w:hAnsi="新宋体" w:eastAsia="方正小标宋简体" w:cs="新宋体"/>
          <w:bCs/>
          <w:color w:val="333333"/>
          <w:sz w:val="44"/>
          <w:szCs w:val="44"/>
          <w:shd w:val="clear" w:color="auto" w:fill="FFFFFF"/>
          <w:lang w:val="en-US" w:eastAsia="zh-CN"/>
        </w:rPr>
        <w:t>5</w:t>
      </w:r>
      <w:r>
        <w:rPr>
          <w:rFonts w:hint="eastAsia" w:ascii="方正小标宋简体" w:hAnsi="新宋体" w:eastAsia="方正小标宋简体" w:cs="新宋体"/>
          <w:bCs/>
          <w:color w:val="333333"/>
          <w:sz w:val="44"/>
          <w:szCs w:val="44"/>
          <w:shd w:val="clear" w:color="auto" w:fill="FFFFFF"/>
        </w:rPr>
        <w:t>年政府信息公开工作年度报告</w:t>
      </w:r>
    </w:p>
    <w:p>
      <w:pPr>
        <w:pStyle w:val="3"/>
        <w:widowControl/>
        <w:spacing w:beforeAutospacing="0" w:afterAutospacing="0" w:line="560" w:lineRule="exact"/>
        <w:ind w:firstLine="640" w:firstLineChars="200"/>
        <w:jc w:val="both"/>
        <w:rPr>
          <w:rFonts w:ascii="仿宋_GB2312" w:eastAsia="仿宋_GB2312" w:cs="仿宋_GB2312"/>
          <w:color w:val="000000"/>
          <w:sz w:val="32"/>
          <w:szCs w:val="32"/>
          <w:shd w:val="clear" w:color="auto" w:fill="FFFFFF"/>
        </w:rPr>
      </w:pPr>
    </w:p>
    <w:p>
      <w:pPr>
        <w:pStyle w:val="3"/>
        <w:widowControl/>
        <w:wordWrap w:val="0"/>
        <w:spacing w:beforeAutospacing="0" w:afterAutospacing="0" w:line="560" w:lineRule="exact"/>
        <w:ind w:firstLine="640" w:firstLineChars="200"/>
        <w:jc w:val="both"/>
        <w:rPr>
          <w:rFonts w:ascii="仿宋_GB2312" w:hAnsi="宋体"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根据《中华人民共和国政府信息公开条例》</w:t>
      </w:r>
      <w:r>
        <w:rPr>
          <w:rFonts w:hint="eastAsia" w:ascii="仿宋_GB2312" w:eastAsia="仿宋_GB2312" w:cs="仿宋_GB2312"/>
          <w:color w:val="000000"/>
          <w:sz w:val="32"/>
          <w:szCs w:val="32"/>
          <w:shd w:val="clear" w:color="auto" w:fill="FFFFFF"/>
          <w:lang w:eastAsia="zh-CN"/>
        </w:rPr>
        <w:t>的相关规定</w:t>
      </w:r>
      <w:r>
        <w:rPr>
          <w:rFonts w:hint="eastAsia" w:ascii="仿宋_GB2312" w:eastAsia="仿宋_GB2312" w:cs="仿宋_GB2312"/>
          <w:color w:val="000000"/>
          <w:sz w:val="32"/>
          <w:szCs w:val="32"/>
          <w:shd w:val="clear" w:color="auto" w:fill="FFFFFF"/>
        </w:rPr>
        <w:t>，结合我局工作实际，现向社会公布枣庄市台儿庄区综合行政执法局202</w:t>
      </w:r>
      <w:r>
        <w:rPr>
          <w:rFonts w:hint="eastAsia" w:ascii="仿宋_GB2312" w:eastAsia="仿宋_GB2312" w:cs="仿宋_GB2312"/>
          <w:color w:val="000000"/>
          <w:sz w:val="32"/>
          <w:szCs w:val="32"/>
          <w:shd w:val="clear" w:color="auto" w:fill="FFFFFF"/>
          <w:lang w:val="en-US" w:eastAsia="zh-CN"/>
        </w:rPr>
        <w:t>5</w:t>
      </w:r>
      <w:r>
        <w:rPr>
          <w:rFonts w:hint="eastAsia" w:ascii="仿宋_GB2312" w:eastAsia="仿宋_GB2312" w:cs="仿宋_GB2312"/>
          <w:color w:val="000000"/>
          <w:sz w:val="32"/>
          <w:szCs w:val="32"/>
          <w:shd w:val="clear" w:color="auto" w:fill="FFFFFF"/>
        </w:rPr>
        <w:t>年政府信息公开工作年度报告。内容包括总体情况、主动公开政府信息情况、收到和处理政府信息公开申请情况、政府信息公开行政复议和行政诉讼情况、存在的主要问题及改进情况、其他需要报告的事项六个部分。本报告中所列数据的统计时限为202</w:t>
      </w:r>
      <w:r>
        <w:rPr>
          <w:rFonts w:hint="eastAsia" w:ascii="仿宋_GB2312" w:eastAsia="仿宋_GB2312" w:cs="仿宋_GB2312"/>
          <w:color w:val="000000"/>
          <w:sz w:val="32"/>
          <w:szCs w:val="32"/>
          <w:shd w:val="clear" w:color="auto" w:fill="FFFFFF"/>
          <w:lang w:val="en-US" w:eastAsia="zh-CN"/>
        </w:rPr>
        <w:t>5</w:t>
      </w:r>
      <w:r>
        <w:rPr>
          <w:rFonts w:hint="eastAsia" w:ascii="仿宋_GB2312" w:eastAsia="仿宋_GB2312" w:cs="仿宋_GB2312"/>
          <w:color w:val="000000"/>
          <w:sz w:val="32"/>
          <w:szCs w:val="32"/>
          <w:shd w:val="clear" w:color="auto" w:fill="FFFFFF"/>
        </w:rPr>
        <w:t>年1月1日至202</w:t>
      </w:r>
      <w:r>
        <w:rPr>
          <w:rFonts w:hint="eastAsia" w:ascii="仿宋_GB2312" w:eastAsia="仿宋_GB2312" w:cs="仿宋_GB2312"/>
          <w:color w:val="000000"/>
          <w:sz w:val="32"/>
          <w:szCs w:val="32"/>
          <w:shd w:val="clear" w:color="auto" w:fill="FFFFFF"/>
          <w:lang w:val="en-US" w:eastAsia="zh-CN"/>
        </w:rPr>
        <w:t>5</w:t>
      </w:r>
      <w:r>
        <w:rPr>
          <w:rFonts w:hint="eastAsia" w:ascii="仿宋_GB2312" w:eastAsia="仿宋_GB2312" w:cs="仿宋_GB2312"/>
          <w:color w:val="000000"/>
          <w:sz w:val="32"/>
          <w:szCs w:val="32"/>
          <w:shd w:val="clear" w:color="auto" w:fill="FFFFFF"/>
        </w:rPr>
        <w:t>年12月31日。本报告可通过台儿庄区政府门户网站（http://www.tez.gov.cn/）查阅或下载。</w:t>
      </w:r>
      <w:r>
        <w:rPr>
          <w:rFonts w:ascii="仿宋_GB2312" w:hAnsi="宋体" w:eastAsia="仿宋_GB2312" w:cs="仿宋_GB2312"/>
          <w:color w:val="000000"/>
          <w:sz w:val="32"/>
          <w:szCs w:val="32"/>
          <w:shd w:val="clear" w:color="auto" w:fill="FFFFFF"/>
        </w:rPr>
        <w:t>如对本报告有疑问，请与</w:t>
      </w:r>
      <w:r>
        <w:rPr>
          <w:rFonts w:hint="eastAsia" w:ascii="仿宋_GB2312" w:eastAsia="仿宋_GB2312" w:cs="仿宋_GB2312"/>
          <w:color w:val="000000"/>
          <w:sz w:val="32"/>
          <w:szCs w:val="32"/>
          <w:shd w:val="clear" w:color="auto" w:fill="FFFFFF"/>
        </w:rPr>
        <w:t>枣庄市</w:t>
      </w:r>
      <w:r>
        <w:rPr>
          <w:rFonts w:ascii="仿宋_GB2312" w:hAnsi="宋体" w:eastAsia="仿宋_GB2312" w:cs="仿宋_GB2312"/>
          <w:color w:val="000000"/>
          <w:sz w:val="32"/>
          <w:szCs w:val="32"/>
          <w:shd w:val="clear" w:color="auto" w:fill="FFFFFF"/>
        </w:rPr>
        <w:t>台儿庄区</w:t>
      </w:r>
      <w:r>
        <w:rPr>
          <w:rFonts w:hint="eastAsia" w:ascii="仿宋_GB2312" w:hAnsi="宋体" w:eastAsia="仿宋_GB2312" w:cs="仿宋_GB2312"/>
          <w:color w:val="000000"/>
          <w:sz w:val="32"/>
          <w:szCs w:val="32"/>
          <w:shd w:val="clear" w:color="auto" w:fill="FFFFFF"/>
        </w:rPr>
        <w:t>综合行政执法局</w:t>
      </w:r>
      <w:r>
        <w:rPr>
          <w:rFonts w:ascii="仿宋_GB2312" w:hAnsi="宋体" w:eastAsia="仿宋_GB2312" w:cs="仿宋_GB2312"/>
          <w:color w:val="000000"/>
          <w:sz w:val="32"/>
          <w:szCs w:val="32"/>
          <w:shd w:val="clear" w:color="auto" w:fill="FFFFFF"/>
        </w:rPr>
        <w:t>联系</w:t>
      </w:r>
      <w:r>
        <w:rPr>
          <w:rFonts w:hint="eastAsia" w:ascii="仿宋_GB2312" w:hAnsi="宋体" w:eastAsia="仿宋_GB2312" w:cs="仿宋_GB2312"/>
          <w:color w:val="000000"/>
          <w:sz w:val="32"/>
          <w:szCs w:val="32"/>
          <w:shd w:val="clear" w:color="auto" w:fill="FFFFFF"/>
        </w:rPr>
        <w:t>(地址:枣庄市台儿庄区长安路中段；电话：0632—5399612；邮箱：tezqcgj@zz.shandong.cn )。</w:t>
      </w:r>
    </w:p>
    <w:p>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微软雅黑" w:hAnsi="微软雅黑" w:eastAsia="微软雅黑" w:cs="微软雅黑"/>
          <w:color w:val="333333"/>
          <w:sz w:val="32"/>
          <w:szCs w:val="32"/>
        </w:rPr>
      </w:pPr>
      <w:r>
        <w:rPr>
          <w:rFonts w:ascii="黑体" w:hAnsi="宋体" w:eastAsia="黑体" w:cs="黑体"/>
          <w:color w:val="333333"/>
          <w:sz w:val="32"/>
          <w:szCs w:val="32"/>
          <w:shd w:val="clear" w:color="auto" w:fill="FFFFFF"/>
        </w:rPr>
        <w:t>一、总体情况</w:t>
      </w:r>
    </w:p>
    <w:p>
      <w:pPr>
        <w:pStyle w:val="3"/>
        <w:widowControl/>
        <w:spacing w:beforeAutospacing="0" w:afterAutospacing="0" w:line="560" w:lineRule="exact"/>
        <w:ind w:firstLine="640" w:firstLineChars="200"/>
        <w:jc w:val="both"/>
        <w:rPr>
          <w:rFonts w:hint="eastAsia" w:ascii="仿宋_GB2312" w:eastAsia="仿宋_GB2312" w:cs="仿宋_GB2312"/>
          <w:color w:val="000000"/>
          <w:sz w:val="32"/>
          <w:szCs w:val="32"/>
          <w:shd w:val="clear" w:color="auto" w:fill="FFFFFF"/>
        </w:rPr>
      </w:pPr>
      <w:r>
        <w:rPr>
          <w:rFonts w:hint="eastAsia" w:ascii="仿宋_GB2312" w:eastAsia="仿宋_GB2312" w:cs="仿宋_GB2312"/>
          <w:color w:val="000000"/>
          <w:sz w:val="32"/>
          <w:szCs w:val="32"/>
          <w:shd w:val="clear" w:color="auto" w:fill="FFFFFF"/>
        </w:rPr>
        <w:t>202</w:t>
      </w:r>
      <w:r>
        <w:rPr>
          <w:rFonts w:hint="eastAsia" w:ascii="仿宋_GB2312" w:eastAsia="仿宋_GB2312" w:cs="仿宋_GB2312"/>
          <w:color w:val="000000"/>
          <w:sz w:val="32"/>
          <w:szCs w:val="32"/>
          <w:shd w:val="clear" w:color="auto" w:fill="FFFFFF"/>
          <w:lang w:val="en-US" w:eastAsia="zh-CN"/>
        </w:rPr>
        <w:t>5</w:t>
      </w:r>
      <w:r>
        <w:rPr>
          <w:rFonts w:hint="eastAsia" w:ascii="仿宋_GB2312" w:eastAsia="仿宋_GB2312" w:cs="仿宋_GB2312"/>
          <w:color w:val="000000"/>
          <w:sz w:val="32"/>
          <w:szCs w:val="32"/>
          <w:shd w:val="clear" w:color="auto" w:fill="FFFFFF"/>
        </w:rPr>
        <w:t>年，台儿庄区综合行政执法局政府信息公开工作坚持以习近平新时代中国特色社会主义思想为指引，深入贯彻落实《中华人民共和国政府信息公开条例》和相关文件部署，始终坚持“公开为常态、不公开为例外”原则，将政府信息公开工作与日常执法业务深度融合，统筹推进各项工作落实，全年政府信息公开工作规范有序、成效显著。</w:t>
      </w:r>
    </w:p>
    <w:p>
      <w:pPr>
        <w:pStyle w:val="3"/>
        <w:widowControl/>
        <w:numPr>
          <w:ilvl w:val="0"/>
          <w:numId w:val="0"/>
        </w:numPr>
        <w:shd w:val="clear" w:color="auto" w:fill="FFFFFF"/>
        <w:spacing w:beforeAutospacing="0" w:afterAutospacing="0" w:line="560" w:lineRule="exact"/>
        <w:ind w:firstLine="640" w:firstLineChars="200"/>
        <w:rPr>
          <w:rFonts w:ascii="仿宋_GB2312" w:eastAsia="仿宋_GB2312" w:cs="仿宋_GB2312"/>
          <w:color w:val="000000"/>
          <w:sz w:val="32"/>
          <w:szCs w:val="32"/>
          <w:highlight w:val="none"/>
          <w:shd w:val="clear" w:color="auto" w:fill="FFFFFF"/>
        </w:rPr>
      </w:pPr>
      <w:r>
        <w:rPr>
          <w:rFonts w:hint="eastAsia" w:ascii="楷体" w:hAnsi="楷体" w:eastAsia="楷体" w:cs="楷体"/>
          <w:color w:val="333333"/>
          <w:sz w:val="32"/>
          <w:szCs w:val="32"/>
          <w:highlight w:val="none"/>
          <w:shd w:val="clear" w:color="auto" w:fill="FFFFFF"/>
          <w:lang w:eastAsia="zh-CN"/>
        </w:rPr>
        <w:t>（一）</w:t>
      </w:r>
      <w:r>
        <w:rPr>
          <w:rFonts w:hint="eastAsia" w:ascii="楷体" w:hAnsi="楷体" w:eastAsia="楷体" w:cs="楷体"/>
          <w:color w:val="333333"/>
          <w:sz w:val="32"/>
          <w:szCs w:val="32"/>
          <w:highlight w:val="none"/>
          <w:shd w:val="clear" w:color="auto" w:fill="FFFFFF"/>
        </w:rPr>
        <w:t>聚焦关键事项</w:t>
      </w:r>
      <w:r>
        <w:rPr>
          <w:rFonts w:hint="eastAsia" w:ascii="楷体" w:hAnsi="楷体" w:eastAsia="楷体" w:cs="楷体"/>
          <w:color w:val="333333"/>
          <w:sz w:val="32"/>
          <w:szCs w:val="32"/>
          <w:highlight w:val="none"/>
          <w:shd w:val="clear" w:color="auto" w:fill="FFFFFF"/>
          <w:lang w:eastAsia="zh-CN"/>
        </w:rPr>
        <w:t>，</w:t>
      </w:r>
      <w:r>
        <w:rPr>
          <w:rFonts w:hint="eastAsia" w:ascii="楷体" w:hAnsi="楷体" w:eastAsia="楷体" w:cs="楷体"/>
          <w:color w:val="333333"/>
          <w:sz w:val="32"/>
          <w:szCs w:val="32"/>
          <w:highlight w:val="none"/>
          <w:shd w:val="clear" w:color="auto" w:fill="FFFFFF"/>
        </w:rPr>
        <w:t>多渠道主动公开信息</w:t>
      </w:r>
      <w:r>
        <w:rPr>
          <w:rFonts w:hint="eastAsia" w:ascii="仿宋" w:hAnsi="仿宋" w:eastAsia="仿宋" w:cs="仿宋"/>
          <w:color w:val="333333"/>
          <w:sz w:val="32"/>
          <w:szCs w:val="32"/>
          <w:highlight w:val="none"/>
          <w:shd w:val="clear" w:color="auto" w:fill="FFFFFF"/>
        </w:rPr>
        <w:t>。</w:t>
      </w:r>
      <w:r>
        <w:rPr>
          <w:rFonts w:hint="eastAsia" w:ascii="仿宋_GB2312" w:eastAsia="仿宋_GB2312" w:cs="仿宋_GB2312"/>
          <w:color w:val="000000"/>
          <w:sz w:val="32"/>
          <w:szCs w:val="32"/>
          <w:highlight w:val="none"/>
          <w:shd w:val="clear" w:color="auto" w:fill="FFFFFF"/>
          <w:lang w:val="en-US" w:eastAsia="zh-CN"/>
        </w:rPr>
        <w:t>2025年，通过台儿庄区政府门户网站、台儿庄区综合行政执法局微信公众号等</w:t>
      </w:r>
      <w:r>
        <w:rPr>
          <w:rFonts w:hint="eastAsia" w:ascii="仿宋_GB2312" w:eastAsia="仿宋_GB2312" w:cs="仿宋_GB2312"/>
          <w:color w:val="000000"/>
          <w:sz w:val="32"/>
          <w:szCs w:val="32"/>
          <w:highlight w:val="none"/>
          <w:shd w:val="clear" w:color="auto" w:fill="FFFFFF"/>
        </w:rPr>
        <w:t>平台主动公开政府信息</w:t>
      </w:r>
      <w:r>
        <w:rPr>
          <w:rFonts w:hint="eastAsia" w:ascii="仿宋_GB2312" w:eastAsia="仿宋_GB2312" w:cs="仿宋_GB2312"/>
          <w:color w:val="auto"/>
          <w:sz w:val="32"/>
          <w:szCs w:val="32"/>
          <w:highlight w:val="none"/>
          <w:shd w:val="clear" w:color="auto" w:fill="FFFFFF"/>
          <w:lang w:val="en-US" w:eastAsia="zh-CN"/>
        </w:rPr>
        <w:t>40</w:t>
      </w:r>
      <w:r>
        <w:rPr>
          <w:rFonts w:hint="eastAsia" w:ascii="仿宋_GB2312" w:eastAsia="仿宋_GB2312" w:cs="仿宋_GB2312"/>
          <w:color w:val="000000"/>
          <w:sz w:val="32"/>
          <w:szCs w:val="32"/>
          <w:highlight w:val="none"/>
          <w:shd w:val="clear" w:color="auto" w:fill="FFFFFF"/>
        </w:rPr>
        <w:t>余条，主要包括人大建议和政协提案、行政执法公示、“双随机、一公开”抽查事项等内容。</w:t>
      </w:r>
    </w:p>
    <w:p>
      <w:pPr>
        <w:pStyle w:val="3"/>
        <w:widowControl/>
        <w:numPr>
          <w:ilvl w:val="0"/>
          <w:numId w:val="0"/>
        </w:numPr>
        <w:shd w:val="clear" w:color="auto" w:fill="FFFFFF"/>
        <w:spacing w:beforeAutospacing="0" w:afterAutospacing="0" w:line="560" w:lineRule="exact"/>
        <w:ind w:firstLine="640" w:firstLineChars="200"/>
        <w:rPr>
          <w:rFonts w:ascii="微软雅黑" w:hAnsi="微软雅黑" w:eastAsia="微软雅黑" w:cs="微软雅黑"/>
          <w:color w:val="333333"/>
          <w:sz w:val="32"/>
          <w:szCs w:val="32"/>
          <w:highlight w:val="none"/>
        </w:rPr>
      </w:pPr>
      <w:r>
        <w:rPr>
          <w:rFonts w:hint="eastAsia" w:ascii="楷体" w:hAnsi="楷体" w:eastAsia="楷体" w:cs="楷体"/>
          <w:color w:val="333333"/>
          <w:sz w:val="32"/>
          <w:szCs w:val="32"/>
          <w:highlight w:val="none"/>
          <w:shd w:val="clear" w:color="auto" w:fill="FFFFFF"/>
          <w:lang w:eastAsia="zh-CN"/>
        </w:rPr>
        <w:t>（二）</w:t>
      </w:r>
      <w:r>
        <w:rPr>
          <w:rFonts w:hint="eastAsia" w:ascii="楷体" w:hAnsi="楷体" w:eastAsia="楷体" w:cs="楷体"/>
          <w:color w:val="333333"/>
          <w:sz w:val="32"/>
          <w:szCs w:val="32"/>
          <w:highlight w:val="none"/>
          <w:shd w:val="clear" w:color="auto" w:fill="FFFFFF"/>
        </w:rPr>
        <w:t>严循条例要求</w:t>
      </w:r>
      <w:r>
        <w:rPr>
          <w:rFonts w:hint="eastAsia" w:ascii="楷体" w:hAnsi="楷体" w:eastAsia="楷体" w:cs="楷体"/>
          <w:color w:val="333333"/>
          <w:sz w:val="32"/>
          <w:szCs w:val="32"/>
          <w:highlight w:val="none"/>
          <w:shd w:val="clear" w:color="auto" w:fill="FFFFFF"/>
          <w:lang w:eastAsia="zh-CN"/>
        </w:rPr>
        <w:t>，</w:t>
      </w:r>
      <w:r>
        <w:rPr>
          <w:rFonts w:hint="eastAsia" w:ascii="楷体" w:hAnsi="楷体" w:eastAsia="楷体" w:cs="楷体"/>
          <w:color w:val="333333"/>
          <w:sz w:val="32"/>
          <w:szCs w:val="32"/>
          <w:highlight w:val="none"/>
          <w:shd w:val="clear" w:color="auto" w:fill="FFFFFF"/>
        </w:rPr>
        <w:t>依申请公开有序落实</w:t>
      </w:r>
      <w:r>
        <w:rPr>
          <w:rFonts w:hint="eastAsia" w:ascii="仿宋" w:hAnsi="仿宋" w:eastAsia="仿宋" w:cs="仿宋"/>
          <w:color w:val="333333"/>
          <w:sz w:val="32"/>
          <w:szCs w:val="32"/>
          <w:highlight w:val="none"/>
          <w:shd w:val="clear" w:color="auto" w:fill="FFFFFF"/>
        </w:rPr>
        <w:t>。</w:t>
      </w:r>
      <w:r>
        <w:rPr>
          <w:rFonts w:hint="eastAsia" w:ascii="仿宋_GB2312" w:eastAsia="仿宋_GB2312" w:cs="仿宋_GB2312"/>
          <w:color w:val="000000"/>
          <w:sz w:val="32"/>
          <w:szCs w:val="32"/>
          <w:highlight w:val="none"/>
          <w:shd w:val="clear" w:color="auto" w:fill="FFFFFF"/>
          <w:lang w:eastAsia="zh-CN"/>
        </w:rPr>
        <w:t>我局严格按照《</w:t>
      </w:r>
      <w:r>
        <w:rPr>
          <w:rFonts w:hint="eastAsia" w:ascii="仿宋_GB2312" w:eastAsia="仿宋_GB2312" w:cs="仿宋_GB2312"/>
          <w:color w:val="000000"/>
          <w:sz w:val="32"/>
          <w:szCs w:val="32"/>
          <w:shd w:val="clear" w:color="auto" w:fill="FFFFFF"/>
        </w:rPr>
        <w:t>中华人民共和国</w:t>
      </w:r>
      <w:r>
        <w:rPr>
          <w:rFonts w:hint="eastAsia" w:ascii="仿宋_GB2312" w:eastAsia="仿宋_GB2312" w:cs="仿宋_GB2312"/>
          <w:color w:val="000000"/>
          <w:sz w:val="32"/>
          <w:szCs w:val="32"/>
          <w:highlight w:val="none"/>
          <w:shd w:val="clear" w:color="auto" w:fill="FFFFFF"/>
          <w:lang w:eastAsia="zh-CN"/>
        </w:rPr>
        <w:t>政府信息公开条例》，健全政府信息公开申请工作机制，明确办理标准、时限要求和责任分工，确保申请处理规范有序。对公民、法人及其他组织提交的政务信息公开申请，</w:t>
      </w:r>
      <w:r>
        <w:rPr>
          <w:rFonts w:hint="eastAsia" w:ascii="仿宋_GB2312" w:eastAsia="仿宋_GB2312" w:cs="仿宋_GB2312"/>
          <w:color w:val="000000"/>
          <w:sz w:val="32"/>
          <w:szCs w:val="32"/>
          <w:highlight w:val="none"/>
          <w:shd w:val="clear" w:color="auto" w:fill="FFFFFF"/>
          <w:lang w:val="en-US" w:eastAsia="zh-CN"/>
        </w:rPr>
        <w:t>能够</w:t>
      </w:r>
      <w:r>
        <w:rPr>
          <w:rFonts w:hint="eastAsia" w:ascii="仿宋_GB2312" w:eastAsia="仿宋_GB2312" w:cs="仿宋_GB2312"/>
          <w:color w:val="000000"/>
          <w:sz w:val="32"/>
          <w:szCs w:val="32"/>
          <w:highlight w:val="none"/>
          <w:shd w:val="clear" w:color="auto" w:fill="FFFFFF"/>
          <w:lang w:eastAsia="zh-CN"/>
        </w:rPr>
        <w:t>细致审查、精准研判，严格在法定时限内完成答复，切实回应群众个性化、合理化信息需求。</w:t>
      </w:r>
      <w:r>
        <w:rPr>
          <w:rFonts w:hint="eastAsia" w:ascii="仿宋_GB2312" w:eastAsia="仿宋_GB2312" w:cs="仿宋_GB2312"/>
          <w:color w:val="000000"/>
          <w:sz w:val="32"/>
          <w:szCs w:val="32"/>
          <w:highlight w:val="none"/>
          <w:shd w:val="clear" w:color="auto" w:fill="FFFFFF"/>
          <w:lang w:val="en-US" w:eastAsia="zh-CN"/>
        </w:rPr>
        <w:t>2025年，</w:t>
      </w:r>
      <w:r>
        <w:rPr>
          <w:rFonts w:hint="eastAsia" w:ascii="仿宋_GB2312" w:eastAsia="仿宋_GB2312" w:cs="仿宋_GB2312"/>
          <w:color w:val="000000"/>
          <w:sz w:val="32"/>
          <w:szCs w:val="32"/>
          <w:highlight w:val="none"/>
          <w:shd w:val="clear" w:color="auto" w:fill="FFFFFF"/>
        </w:rPr>
        <w:t>全</w:t>
      </w:r>
      <w:r>
        <w:rPr>
          <w:rFonts w:hint="eastAsia" w:ascii="仿宋_GB2312" w:eastAsia="仿宋_GB2312" w:cs="仿宋_GB2312"/>
          <w:color w:val="000000"/>
          <w:sz w:val="32"/>
          <w:szCs w:val="32"/>
          <w:highlight w:val="none"/>
          <w:shd w:val="clear" w:color="auto" w:fill="FFFFFF"/>
          <w:lang w:eastAsia="zh-CN"/>
        </w:rPr>
        <w:t>局</w:t>
      </w:r>
      <w:r>
        <w:rPr>
          <w:rFonts w:hint="eastAsia" w:ascii="仿宋_GB2312" w:eastAsia="仿宋_GB2312" w:cs="仿宋_GB2312"/>
          <w:color w:val="000000"/>
          <w:sz w:val="32"/>
          <w:szCs w:val="32"/>
          <w:highlight w:val="none"/>
          <w:shd w:val="clear" w:color="auto" w:fill="FFFFFF"/>
        </w:rPr>
        <w:t>共办理政府信息公开申请</w:t>
      </w:r>
      <w:r>
        <w:rPr>
          <w:rFonts w:hint="eastAsia" w:ascii="仿宋_GB2312" w:eastAsia="仿宋_GB2312" w:cs="仿宋_GB2312"/>
          <w:color w:val="000000"/>
          <w:sz w:val="32"/>
          <w:szCs w:val="32"/>
          <w:highlight w:val="none"/>
          <w:shd w:val="clear" w:color="auto" w:fill="FFFFFF"/>
          <w:lang w:val="en-US" w:eastAsia="zh-CN"/>
        </w:rPr>
        <w:t>0</w:t>
      </w:r>
      <w:r>
        <w:rPr>
          <w:rFonts w:hint="eastAsia" w:ascii="仿宋_GB2312" w:eastAsia="仿宋_GB2312" w:cs="仿宋_GB2312"/>
          <w:color w:val="000000"/>
          <w:sz w:val="32"/>
          <w:szCs w:val="32"/>
          <w:highlight w:val="none"/>
          <w:shd w:val="clear" w:color="auto" w:fill="FFFFFF"/>
        </w:rPr>
        <w:t>件。</w:t>
      </w:r>
    </w:p>
    <w:p>
      <w:pPr>
        <w:pStyle w:val="3"/>
        <w:widowControl/>
        <w:shd w:val="clear" w:color="auto" w:fill="FFFFFF"/>
        <w:spacing w:beforeAutospacing="0" w:afterAutospacing="0" w:line="560" w:lineRule="exact"/>
        <w:ind w:firstLine="516"/>
        <w:rPr>
          <w:rFonts w:hint="eastAsia" w:ascii="仿宋_GB2312" w:eastAsia="仿宋_GB2312" w:cs="仿宋_GB2312"/>
          <w:color w:val="000000"/>
          <w:sz w:val="32"/>
          <w:szCs w:val="32"/>
          <w:highlight w:val="none"/>
          <w:shd w:val="clear" w:color="auto" w:fill="FFFFFF"/>
        </w:rPr>
      </w:pPr>
      <w:r>
        <w:rPr>
          <w:rFonts w:hint="eastAsia" w:ascii="楷体" w:hAnsi="楷体" w:eastAsia="楷体" w:cs="楷体"/>
          <w:color w:val="333333"/>
          <w:sz w:val="32"/>
          <w:szCs w:val="32"/>
          <w:highlight w:val="none"/>
          <w:shd w:val="clear" w:color="auto" w:fill="FFFFFF"/>
        </w:rPr>
        <w:t>（三）严管政务信息</w:t>
      </w:r>
      <w:r>
        <w:rPr>
          <w:rFonts w:hint="eastAsia" w:ascii="楷体" w:hAnsi="楷体" w:eastAsia="楷体" w:cs="楷体"/>
          <w:color w:val="333333"/>
          <w:sz w:val="32"/>
          <w:szCs w:val="32"/>
          <w:highlight w:val="none"/>
          <w:shd w:val="clear" w:color="auto" w:fill="FFFFFF"/>
          <w:lang w:eastAsia="zh-CN"/>
        </w:rPr>
        <w:t>，</w:t>
      </w:r>
      <w:r>
        <w:rPr>
          <w:rFonts w:hint="eastAsia" w:ascii="楷体" w:hAnsi="楷体" w:eastAsia="楷体" w:cs="楷体"/>
          <w:color w:val="333333"/>
          <w:sz w:val="32"/>
          <w:szCs w:val="32"/>
          <w:highlight w:val="none"/>
          <w:shd w:val="clear" w:color="auto" w:fill="FFFFFF"/>
        </w:rPr>
        <w:t>保障公开规范有序</w:t>
      </w:r>
      <w:r>
        <w:rPr>
          <w:rFonts w:hint="eastAsia" w:ascii="仿宋" w:hAnsi="仿宋" w:eastAsia="仿宋" w:cs="仿宋"/>
          <w:color w:val="333333"/>
          <w:sz w:val="32"/>
          <w:szCs w:val="32"/>
          <w:highlight w:val="none"/>
          <w:shd w:val="clear" w:color="auto" w:fill="FFFFFF"/>
        </w:rPr>
        <w:t>。</w:t>
      </w:r>
      <w:r>
        <w:rPr>
          <w:rFonts w:hint="eastAsia" w:ascii="仿宋_GB2312" w:eastAsia="仿宋_GB2312" w:cs="仿宋_GB2312"/>
          <w:color w:val="000000"/>
          <w:sz w:val="32"/>
          <w:szCs w:val="32"/>
          <w:highlight w:val="none"/>
          <w:shd w:val="clear" w:color="auto" w:fill="FFFFFF"/>
        </w:rPr>
        <w:t>我局以“规范内容、严守底线、保障实效”为核心，持续完善政府信息公开内容体系，严格恪守“先审查、后公开”工作原则。建立健全信息公开审核机制，对拟公开信息从内容合法性、准确性、保密性等方面进行全流程严格审核，坚决筑牢“公开信息不涉密、涉密信息不公开”的安全防线。通过规范化管理，确保向公众提供的政务信息权威、准确、及时，为政府信息公开工作有序开展筑牢基础。</w:t>
      </w:r>
    </w:p>
    <w:p>
      <w:pPr>
        <w:spacing w:line="560" w:lineRule="exact"/>
        <w:ind w:firstLine="640" w:firstLineChars="200"/>
        <w:rPr>
          <w:rFonts w:ascii="仿宋_GB2312" w:eastAsia="仿宋_GB2312" w:cs="仿宋_GB2312"/>
          <w:color w:val="000000"/>
          <w:kern w:val="0"/>
          <w:sz w:val="32"/>
          <w:szCs w:val="32"/>
          <w:highlight w:val="none"/>
          <w:shd w:val="clear" w:color="auto" w:fill="FFFFFF"/>
        </w:rPr>
      </w:pPr>
      <w:r>
        <w:rPr>
          <w:rFonts w:hint="eastAsia" w:ascii="楷体" w:hAnsi="楷体" w:eastAsia="楷体" w:cs="楷体"/>
          <w:color w:val="333333"/>
          <w:kern w:val="0"/>
          <w:sz w:val="32"/>
          <w:szCs w:val="32"/>
          <w:highlight w:val="none"/>
          <w:shd w:val="clear" w:color="auto" w:fill="FFFFFF"/>
        </w:rPr>
        <w:t>（四）优化平台建设</w:t>
      </w:r>
      <w:r>
        <w:rPr>
          <w:rFonts w:hint="eastAsia" w:ascii="楷体" w:hAnsi="楷体" w:eastAsia="楷体" w:cs="楷体"/>
          <w:color w:val="333333"/>
          <w:kern w:val="0"/>
          <w:sz w:val="32"/>
          <w:szCs w:val="32"/>
          <w:highlight w:val="none"/>
          <w:shd w:val="clear" w:color="auto" w:fill="FFFFFF"/>
          <w:lang w:eastAsia="zh-CN"/>
        </w:rPr>
        <w:t>，</w:t>
      </w:r>
      <w:r>
        <w:rPr>
          <w:rFonts w:hint="eastAsia" w:ascii="楷体" w:hAnsi="楷体" w:eastAsia="楷体" w:cs="楷体"/>
          <w:color w:val="333333"/>
          <w:kern w:val="0"/>
          <w:sz w:val="32"/>
          <w:szCs w:val="32"/>
          <w:highlight w:val="none"/>
          <w:shd w:val="clear" w:color="auto" w:fill="FFFFFF"/>
        </w:rPr>
        <w:t>提升政务公开质效。</w:t>
      </w:r>
      <w:r>
        <w:rPr>
          <w:rFonts w:hint="eastAsia" w:ascii="仿宋_GB2312" w:eastAsia="仿宋_GB2312" w:cs="仿宋_GB2312"/>
          <w:color w:val="000000"/>
          <w:kern w:val="0"/>
          <w:sz w:val="32"/>
          <w:szCs w:val="32"/>
          <w:highlight w:val="none"/>
          <w:shd w:val="clear" w:color="auto" w:fill="FFFFFF"/>
          <w:lang w:eastAsia="zh-CN"/>
        </w:rPr>
        <w:t>我局以“拓宽渠道、优化服务、贴近群众”为目标，扎实推进政府信息公开平台建设。通过“台儿庄区综合行政执法局”微信公众号，及时发布政策法规、通知公告、工作动态等各类信息；持续深耕《城管姐姐“讲道理”》特色栏目，以群众喜闻乐见的形式解读城管执法相关内容，直观展示城市管理工作成效，既稳步提升政务新媒体管理运营水平，又有效扩大群众对城市管理工作的知晓率与参与度，推动形成社会共治的良好氛围。</w:t>
      </w:r>
    </w:p>
    <w:p>
      <w:pPr>
        <w:spacing w:line="560" w:lineRule="exact"/>
        <w:ind w:firstLine="640" w:firstLineChars="200"/>
        <w:rPr>
          <w:rFonts w:hint="eastAsia" w:ascii="仿宋_GB2312" w:eastAsia="仿宋_GB2312" w:cs="仿宋_GB2312"/>
          <w:color w:val="000000"/>
          <w:kern w:val="0"/>
          <w:sz w:val="32"/>
          <w:szCs w:val="32"/>
          <w:highlight w:val="none"/>
          <w:shd w:val="clear" w:color="auto" w:fill="FFFFFF"/>
        </w:rPr>
      </w:pPr>
      <w:r>
        <w:rPr>
          <w:rFonts w:hint="eastAsia" w:ascii="楷体" w:hAnsi="楷体" w:eastAsia="楷体" w:cs="楷体"/>
          <w:color w:val="333333"/>
          <w:kern w:val="0"/>
          <w:sz w:val="32"/>
          <w:szCs w:val="32"/>
          <w:highlight w:val="none"/>
          <w:shd w:val="clear" w:color="auto" w:fill="FFFFFF"/>
        </w:rPr>
        <w:t>（五）完善监督保障</w:t>
      </w:r>
      <w:r>
        <w:rPr>
          <w:rFonts w:hint="eastAsia" w:ascii="楷体" w:hAnsi="楷体" w:eastAsia="楷体" w:cs="楷体"/>
          <w:color w:val="333333"/>
          <w:kern w:val="0"/>
          <w:sz w:val="32"/>
          <w:szCs w:val="32"/>
          <w:highlight w:val="none"/>
          <w:shd w:val="clear" w:color="auto" w:fill="FFFFFF"/>
          <w:lang w:eastAsia="zh-CN"/>
        </w:rPr>
        <w:t>，</w:t>
      </w:r>
      <w:r>
        <w:rPr>
          <w:rFonts w:hint="eastAsia" w:ascii="楷体" w:hAnsi="楷体" w:eastAsia="楷体" w:cs="楷体"/>
          <w:color w:val="333333"/>
          <w:kern w:val="0"/>
          <w:sz w:val="32"/>
          <w:szCs w:val="32"/>
          <w:highlight w:val="none"/>
          <w:shd w:val="clear" w:color="auto" w:fill="FFFFFF"/>
        </w:rPr>
        <w:t>推动公开工作提质。</w:t>
      </w:r>
      <w:r>
        <w:rPr>
          <w:rFonts w:hint="eastAsia" w:ascii="仿宋_GB2312" w:eastAsia="仿宋_GB2312" w:cs="仿宋_GB2312"/>
          <w:color w:val="000000"/>
          <w:kern w:val="0"/>
          <w:sz w:val="32"/>
          <w:szCs w:val="32"/>
          <w:highlight w:val="none"/>
          <w:shd w:val="clear" w:color="auto" w:fill="FFFFFF"/>
        </w:rPr>
        <w:t>我局以</w:t>
      </w:r>
      <w:r>
        <w:rPr>
          <w:rFonts w:hint="eastAsia" w:ascii="仿宋_GB2312" w:eastAsia="仿宋_GB2312" w:cs="仿宋_GB2312"/>
          <w:color w:val="000000"/>
          <w:kern w:val="0"/>
          <w:sz w:val="32"/>
          <w:szCs w:val="32"/>
          <w:highlight w:val="none"/>
          <w:shd w:val="clear" w:color="auto" w:fill="FFFFFF"/>
          <w:lang w:eastAsia="zh-CN"/>
        </w:rPr>
        <w:t>“</w:t>
      </w:r>
      <w:r>
        <w:rPr>
          <w:rFonts w:hint="eastAsia" w:ascii="仿宋_GB2312" w:eastAsia="仿宋_GB2312" w:cs="仿宋_GB2312"/>
          <w:color w:val="000000"/>
          <w:kern w:val="0"/>
          <w:sz w:val="32"/>
          <w:szCs w:val="32"/>
          <w:highlight w:val="none"/>
          <w:shd w:val="clear" w:color="auto" w:fill="FFFFFF"/>
        </w:rPr>
        <w:t>健全机制、压实责任、提升质效</w:t>
      </w:r>
      <w:bookmarkStart w:id="10" w:name="_GoBack"/>
      <w:bookmarkEnd w:id="10"/>
      <w:r>
        <w:rPr>
          <w:rFonts w:hint="eastAsia" w:ascii="仿宋_GB2312" w:eastAsia="仿宋_GB2312" w:cs="仿宋_GB2312"/>
          <w:color w:val="000000"/>
          <w:kern w:val="0"/>
          <w:sz w:val="32"/>
          <w:szCs w:val="32"/>
          <w:highlight w:val="none"/>
          <w:shd w:val="clear" w:color="auto" w:fill="FFFFFF"/>
          <w:lang w:eastAsia="zh-CN"/>
        </w:rPr>
        <w:t>”</w:t>
      </w:r>
      <w:r>
        <w:rPr>
          <w:rFonts w:hint="eastAsia" w:ascii="仿宋_GB2312" w:eastAsia="仿宋_GB2312" w:cs="仿宋_GB2312"/>
          <w:color w:val="000000"/>
          <w:kern w:val="0"/>
          <w:sz w:val="32"/>
          <w:szCs w:val="32"/>
          <w:highlight w:val="none"/>
          <w:shd w:val="clear" w:color="auto" w:fill="FFFFFF"/>
        </w:rPr>
        <w:t>为抓手，扎实筑牢政府信息公开工作根基。全面落实各科室信息公开责任，明确公开内容及时限要求</w:t>
      </w:r>
      <w:r>
        <w:rPr>
          <w:rFonts w:hint="eastAsia" w:ascii="仿宋_GB2312" w:eastAsia="仿宋_GB2312" w:cs="仿宋_GB2312"/>
          <w:color w:val="000000"/>
          <w:kern w:val="0"/>
          <w:sz w:val="32"/>
          <w:szCs w:val="32"/>
          <w:highlight w:val="none"/>
          <w:shd w:val="clear" w:color="auto" w:fill="FFFFFF"/>
          <w:lang w:eastAsia="zh-CN"/>
        </w:rPr>
        <w:t>。</w:t>
      </w:r>
      <w:r>
        <w:rPr>
          <w:rFonts w:hint="eastAsia" w:ascii="仿宋_GB2312" w:eastAsia="仿宋_GB2312" w:cs="仿宋_GB2312"/>
          <w:color w:val="000000"/>
          <w:kern w:val="0"/>
          <w:sz w:val="32"/>
          <w:szCs w:val="32"/>
          <w:highlight w:val="none"/>
          <w:shd w:val="clear" w:color="auto" w:fill="FFFFFF"/>
        </w:rPr>
        <w:t>重点强化保密审查，确保公开信息表述准确、时机得当、安全可靠。同时，积极开展信息公开业务培训，切实提升工作人员业务能力，以严密的监督保障体系推动信息公开工作规范有序开展。</w:t>
      </w:r>
    </w:p>
    <w:p>
      <w:pPr>
        <w:pStyle w:val="3"/>
        <w:widowControl/>
        <w:spacing w:beforeAutospacing="0" w:afterAutospacing="0" w:line="560" w:lineRule="exact"/>
        <w:ind w:firstLine="640" w:firstLineChars="200"/>
        <w:jc w:val="both"/>
        <w:rPr>
          <w:rFonts w:ascii="黑体" w:hAnsi="宋体" w:eastAsia="黑体" w:cs="黑体"/>
          <w:color w:val="000000"/>
          <w:sz w:val="32"/>
          <w:szCs w:val="32"/>
        </w:rPr>
      </w:pPr>
      <w:r>
        <w:rPr>
          <w:rFonts w:hint="eastAsia" w:ascii="黑体" w:hAnsi="宋体" w:eastAsia="黑体" w:cs="黑体"/>
          <w:color w:val="000000"/>
          <w:sz w:val="32"/>
          <w:szCs w:val="32"/>
        </w:rPr>
        <w:t>二、主动公开政府信息情况</w:t>
      </w:r>
    </w:p>
    <w:tbl>
      <w:tblPr>
        <w:tblStyle w:val="4"/>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Calibri" w:eastAsia="仿宋_GB2312" w:cs="Calibri"/>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Calibri" w:eastAsia="仿宋_GB2312"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仿宋_GB2312" w:hAnsi="Calibri" w:eastAsia="仿宋_GB2312" w:cs="Calibri"/>
                <w:color w:val="000000" w:themeColor="text1"/>
                <w:kern w:val="0"/>
                <w:szCs w:val="21"/>
                <w:lang w:val="en-US" w:eastAsia="zh-CN"/>
                <w14:textFill>
                  <w14:solidFill>
                    <w14:schemeClr w14:val="tx1"/>
                  </w14:solidFill>
                </w14:textFill>
              </w:rPr>
            </w:pPr>
            <w:r>
              <w:rPr>
                <w:rFonts w:hint="eastAsia" w:ascii="仿宋_GB2312" w:hAnsi="Calibri" w:eastAsia="仿宋_GB2312" w:cs="Calibri"/>
                <w:color w:val="000000" w:themeColor="text1"/>
                <w:kern w:val="0"/>
                <w:szCs w:val="21"/>
                <w:lang w:val="en-US" w:eastAsia="zh-CN"/>
                <w14:textFill>
                  <w14:solidFill>
                    <w14:schemeClr w14:val="tx1"/>
                  </w14:solidFill>
                </w14:textFill>
              </w:rPr>
              <w:t>78</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Calibri" w:eastAsia="仿宋_GB2312"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Cs w:val="21"/>
                <w14:textFill>
                  <w14:solidFill>
                    <w14:schemeClr w14:val="tx1"/>
                  </w14:solidFill>
                </w14:textFill>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themeColor="text1"/>
                <w:kern w:val="0"/>
                <w:szCs w:val="21"/>
                <w14:textFill>
                  <w14:solidFill>
                    <w14:schemeClr w14:val="tx1"/>
                  </w14:solidFill>
                </w14:textFill>
              </w:rPr>
            </w:pPr>
            <w:r>
              <w:rPr>
                <w:rFonts w:hint="eastAsia" w:ascii="黑体" w:hAnsi="黑体" w:eastAsia="黑体" w:cs="宋体"/>
                <w:color w:val="000000" w:themeColor="text1"/>
                <w:kern w:val="0"/>
                <w:szCs w:val="21"/>
                <w14:textFill>
                  <w14:solidFill>
                    <w14:schemeClr w14:val="tx1"/>
                  </w14:solidFill>
                </w14:textFill>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Calibri" w:eastAsia="仿宋_GB2312" w:cs="Calibri"/>
                <w:color w:val="000000" w:themeColor="text1"/>
                <w:kern w:val="0"/>
                <w:szCs w:val="21"/>
                <w14:textFill>
                  <w14:solidFill>
                    <w14:schemeClr w14:val="tx1"/>
                  </w14:solidFill>
                </w14:textFill>
              </w:rPr>
            </w:pPr>
            <w:r>
              <w:rPr>
                <w:rFonts w:hint="eastAsia" w:ascii="仿宋_GB2312" w:hAnsi="Calibri" w:eastAsia="仿宋_GB2312" w:cs="Calibri"/>
                <w:color w:val="000000" w:themeColor="text1"/>
                <w:kern w:val="0"/>
                <w:szCs w:val="21"/>
                <w14:textFill>
                  <w14:solidFill>
                    <w14:schemeClr w14:val="tx1"/>
                  </w14:solidFill>
                </w14:textFill>
              </w:rPr>
              <w:t>0</w:t>
            </w:r>
          </w:p>
        </w:tc>
      </w:tr>
    </w:tbl>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黑体" w:hAnsi="黑体" w:eastAsia="黑体" w:cs="黑体"/>
          <w:bCs/>
          <w:color w:val="333333"/>
          <w:kern w:val="0"/>
          <w:sz w:val="32"/>
          <w:szCs w:val="32"/>
          <w:shd w:val="clear" w:color="auto" w:fill="FFFFFF"/>
          <w:lang w:bidi="ar"/>
        </w:rPr>
      </w:pPr>
      <w:r>
        <w:rPr>
          <w:rFonts w:hint="eastAsia" w:ascii="黑体" w:hAnsi="宋体" w:eastAsia="黑体" w:cs="黑体"/>
          <w:color w:val="000000"/>
          <w:sz w:val="32"/>
          <w:szCs w:val="32"/>
        </w:rPr>
        <w:t>三、收到和处理政府信息公开申请情况</w:t>
      </w:r>
    </w:p>
    <w:tbl>
      <w:tblPr>
        <w:tblStyle w:val="4"/>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5"/>
        <w:gridCol w:w="1699"/>
        <w:gridCol w:w="2973"/>
        <w:gridCol w:w="752"/>
        <w:gridCol w:w="540"/>
        <w:gridCol w:w="540"/>
        <w:gridCol w:w="720"/>
        <w:gridCol w:w="675"/>
        <w:gridCol w:w="526"/>
        <w:gridCol w:w="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eastAsia="仿宋_GB2312"/>
                <w:szCs w:val="21"/>
              </w:rPr>
            </w:pPr>
            <w:r>
              <w:rPr>
                <w:rFonts w:hint="eastAsia" w:ascii="楷体_GB2312" w:hAnsi="黑体" w:eastAsia="楷体_GB2312"/>
                <w:kern w:val="0"/>
                <w:szCs w:val="21"/>
              </w:rPr>
              <w:t>等于第三项加第四项之和）</w:t>
            </w:r>
          </w:p>
        </w:tc>
        <w:tc>
          <w:tcPr>
            <w:tcW w:w="4448"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eastAsia="仿宋_GB2312"/>
                <w:szCs w:val="21"/>
              </w:rPr>
            </w:pPr>
          </w:p>
        </w:tc>
        <w:tc>
          <w:tcPr>
            <w:tcW w:w="747"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00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70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eastAsia="仿宋_GB2312"/>
                <w:szCs w:val="21"/>
              </w:rPr>
            </w:pPr>
          </w:p>
        </w:tc>
        <w:tc>
          <w:tcPr>
            <w:tcW w:w="747" w:type="dxa"/>
            <w:vMerge w:val="continue"/>
            <w:shd w:val="clear" w:color="auto" w:fill="auto"/>
            <w:tcMar>
              <w:left w:w="108" w:type="dxa"/>
              <w:right w:w="108" w:type="dxa"/>
            </w:tcMar>
            <w:vAlign w:val="center"/>
          </w:tcPr>
          <w:p>
            <w:pPr>
              <w:jc w:val="center"/>
              <w:rPr>
                <w:rFonts w:ascii="黑体" w:hAnsi="黑体" w:eastAsia="黑体"/>
                <w:szCs w:val="21"/>
              </w:rPr>
            </w:pPr>
          </w:p>
        </w:tc>
        <w:tc>
          <w:tcPr>
            <w:tcW w:w="540"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4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20"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67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701" w:type="dxa"/>
            <w:vMerge w:val="continue"/>
            <w:shd w:val="clear" w:color="auto" w:fill="auto"/>
            <w:tcMar>
              <w:left w:w="108" w:type="dxa"/>
              <w:right w:w="108" w:type="dxa"/>
            </w:tcMar>
            <w:vAlign w:val="center"/>
          </w:tcPr>
          <w:p>
            <w:pPr>
              <w:jc w:val="center"/>
              <w:rPr>
                <w:rFonts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w:t>
            </w:r>
            <w:bookmarkStart w:id="0" w:name="_Hlk66973412"/>
            <w:r>
              <w:rPr>
                <w:rFonts w:hint="eastAsia" w:ascii="黑体" w:hAnsi="黑体" w:eastAsia="黑体"/>
                <w:color w:val="000000" w:themeColor="text1"/>
                <w:kern w:val="0"/>
                <w:szCs w:val="21"/>
                <w14:textFill>
                  <w14:solidFill>
                    <w14:schemeClr w14:val="tx1"/>
                  </w14:solidFill>
                </w14:textFill>
              </w:rPr>
              <w:t>本年新收政府信息公开申请数量</w:t>
            </w:r>
            <w:bookmarkEnd w:id="0"/>
          </w:p>
        </w:tc>
        <w:tc>
          <w:tcPr>
            <w:tcW w:w="747"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二、上年结转政府信息公开申请数量</w:t>
            </w:r>
          </w:p>
        </w:tc>
        <w:tc>
          <w:tcPr>
            <w:tcW w:w="747"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（一）予以公开</w:t>
            </w:r>
          </w:p>
        </w:tc>
        <w:tc>
          <w:tcPr>
            <w:tcW w:w="752"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4677" w:type="dxa"/>
            <w:gridSpan w:val="2"/>
            <w:shd w:val="clear" w:color="auto" w:fill="auto"/>
            <w:tcMar>
              <w:left w:w="108" w:type="dxa"/>
              <w:right w:w="108" w:type="dxa"/>
            </w:tcMar>
            <w:vAlign w:val="center"/>
          </w:tcPr>
          <w:p>
            <w:pPr>
              <w:widowControl/>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（二）部分公开（</w:t>
            </w:r>
            <w:bookmarkStart w:id="1" w:name="_Hlk66973981"/>
            <w:r>
              <w:rPr>
                <w:rFonts w:hint="eastAsia" w:ascii="黑体" w:hAnsi="黑体" w:eastAsia="黑体"/>
                <w:color w:val="000000" w:themeColor="text1"/>
                <w:kern w:val="0"/>
                <w:szCs w:val="21"/>
                <w14:textFill>
                  <w14:solidFill>
                    <w14:schemeClr w14:val="tx1"/>
                  </w14:solidFill>
                </w14:textFill>
              </w:rPr>
              <w:t>区分处理的，只计这一情形，不计其他情形</w:t>
            </w:r>
            <w:bookmarkEnd w:id="1"/>
            <w:r>
              <w:rPr>
                <w:rFonts w:hint="eastAsia" w:ascii="黑体" w:hAnsi="黑体" w:eastAsia="黑体"/>
                <w:color w:val="000000" w:themeColor="text1"/>
                <w:kern w:val="0"/>
                <w:szCs w:val="21"/>
                <w14:textFill>
                  <w14:solidFill>
                    <w14:schemeClr w14:val="tx1"/>
                  </w14:solidFill>
                </w14:textFill>
              </w:rPr>
              <w:t>）</w:t>
            </w:r>
          </w:p>
        </w:tc>
        <w:tc>
          <w:tcPr>
            <w:tcW w:w="752"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3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6"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0"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1.属于国家秘密</w:t>
            </w:r>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2" w:name="_Hlk66974104"/>
            <w:r>
              <w:rPr>
                <w:rFonts w:hint="eastAsia" w:ascii="仿宋_GB2312" w:hAnsi="黑体" w:eastAsia="仿宋_GB2312"/>
                <w:color w:val="000000" w:themeColor="text1"/>
                <w:kern w:val="0"/>
                <w:szCs w:val="21"/>
                <w14:textFill>
                  <w14:solidFill>
                    <w14:schemeClr w14:val="tx1"/>
                  </w14:solidFill>
                </w14:textFill>
              </w:rPr>
              <w:t>其他法律行政法规禁止公开</w:t>
            </w:r>
            <w:bookmarkEnd w:id="2"/>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3.危及“三安全一稳定”</w:t>
            </w:r>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w:t>
            </w:r>
            <w:bookmarkStart w:id="3" w:name="_Hlk66974290"/>
            <w:r>
              <w:rPr>
                <w:rFonts w:hint="eastAsia" w:ascii="仿宋_GB2312" w:hAnsi="黑体" w:eastAsia="仿宋_GB2312"/>
                <w:color w:val="000000" w:themeColor="text1"/>
                <w:kern w:val="0"/>
                <w:szCs w:val="21"/>
                <w14:textFill>
                  <w14:solidFill>
                    <w14:schemeClr w14:val="tx1"/>
                  </w14:solidFill>
                </w14:textFill>
              </w:rPr>
              <w:t>保护第三方合法权益</w:t>
            </w:r>
            <w:bookmarkEnd w:id="3"/>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5.属于三类内部事务信息</w:t>
            </w:r>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6.</w:t>
            </w:r>
            <w:bookmarkStart w:id="4" w:name="_Hlk66974555"/>
            <w:r>
              <w:rPr>
                <w:rFonts w:hint="eastAsia" w:ascii="仿宋_GB2312" w:hAnsi="黑体" w:eastAsia="仿宋_GB2312"/>
                <w:color w:val="000000" w:themeColor="text1"/>
                <w:kern w:val="0"/>
                <w:szCs w:val="21"/>
                <w14:textFill>
                  <w14:solidFill>
                    <w14:schemeClr w14:val="tx1"/>
                  </w14:solidFill>
                </w14:textFill>
              </w:rPr>
              <w:t>属于四类过程性信息</w:t>
            </w:r>
            <w:bookmarkEnd w:id="4"/>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7.属于行政执法案卷</w:t>
            </w:r>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8.</w:t>
            </w:r>
            <w:bookmarkStart w:id="5" w:name="_Hlk66975211"/>
            <w:r>
              <w:rPr>
                <w:rFonts w:hint="eastAsia" w:ascii="仿宋_GB2312" w:hAnsi="黑体" w:eastAsia="仿宋_GB2312"/>
                <w:color w:val="000000" w:themeColor="text1"/>
                <w:kern w:val="0"/>
                <w:szCs w:val="21"/>
                <w14:textFill>
                  <w14:solidFill>
                    <w14:schemeClr w14:val="tx1"/>
                  </w14:solidFill>
                </w14:textFill>
              </w:rPr>
              <w:t>属于行政查询事项</w:t>
            </w:r>
            <w:bookmarkEnd w:id="5"/>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1.本机关不掌握相关政府信息</w:t>
            </w:r>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w:t>
            </w:r>
            <w:bookmarkStart w:id="6" w:name="_Hlk66975392"/>
            <w:r>
              <w:rPr>
                <w:rFonts w:hint="eastAsia" w:ascii="仿宋_GB2312" w:hAnsi="黑体" w:eastAsia="仿宋_GB2312"/>
                <w:color w:val="000000" w:themeColor="text1"/>
                <w:kern w:val="0"/>
                <w:szCs w:val="21"/>
                <w14:textFill>
                  <w14:solidFill>
                    <w14:schemeClr w14:val="tx1"/>
                  </w14:solidFill>
                </w14:textFill>
              </w:rPr>
              <w:t>没有现成信息需要另行制作</w:t>
            </w:r>
            <w:bookmarkEnd w:id="6"/>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ind w:left="-107" w:leftChars="-51"/>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w:t>
            </w:r>
            <w:bookmarkStart w:id="7" w:name="_Hlk66975466"/>
            <w:r>
              <w:rPr>
                <w:rFonts w:hint="eastAsia" w:ascii="仿宋_GB2312" w:hAnsi="黑体" w:eastAsia="仿宋_GB2312"/>
                <w:color w:val="000000" w:themeColor="text1"/>
                <w:kern w:val="0"/>
                <w:szCs w:val="21"/>
                <w14:textFill>
                  <w14:solidFill>
                    <w14:schemeClr w14:val="tx1"/>
                  </w14:solidFill>
                </w14:textFill>
              </w:rPr>
              <w:t>补正后申请内容仍不明确</w:t>
            </w:r>
            <w:bookmarkEnd w:id="7"/>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pPr>
              <w:widowControl/>
              <w:spacing w:line="200" w:lineRule="exact"/>
              <w:ind w:left="-107" w:leftChars="-51"/>
              <w:rPr>
                <w:rFonts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1.</w:t>
            </w:r>
            <w:bookmarkStart w:id="8" w:name="_Hlk66975537"/>
            <w:r>
              <w:rPr>
                <w:rFonts w:hint="eastAsia" w:ascii="仿宋_GB2312" w:hAnsi="黑体" w:eastAsia="仿宋_GB2312"/>
                <w:color w:val="000000" w:themeColor="text1"/>
                <w:kern w:val="0"/>
                <w:szCs w:val="21"/>
                <w14:textFill>
                  <w14:solidFill>
                    <w14:schemeClr w14:val="tx1"/>
                  </w14:solidFill>
                </w14:textFill>
              </w:rPr>
              <w:t>信访举报投诉类申请</w:t>
            </w:r>
            <w:bookmarkEnd w:id="8"/>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2.重复申请</w:t>
            </w:r>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3.要求提供公开出版物</w:t>
            </w:r>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4.无正当理由大量反复申请</w:t>
            </w:r>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5.要求行政机关确认或重新</w:t>
            </w:r>
          </w:p>
          <w:p>
            <w:pPr>
              <w:widowControl/>
              <w:spacing w:line="300" w:lineRule="exact"/>
              <w:ind w:firstLine="210" w:firstLineChars="100"/>
              <w:rPr>
                <w:rFonts w:ascii="仿宋_GB2312" w:hAnsi="黑体" w:eastAsia="仿宋_GB2312"/>
                <w:color w:val="000000" w:themeColor="text1"/>
                <w:szCs w:val="21"/>
                <w14:textFill>
                  <w14:solidFill>
                    <w14:schemeClr w14:val="tx1"/>
                  </w14:solidFill>
                </w14:textFill>
              </w:rPr>
            </w:pPr>
            <w:r>
              <w:rPr>
                <w:rFonts w:hint="eastAsia" w:ascii="仿宋_GB2312" w:hAnsi="黑体" w:eastAsia="仿宋_GB2312"/>
                <w:color w:val="000000" w:themeColor="text1"/>
                <w:kern w:val="0"/>
                <w:szCs w:val="21"/>
                <w14:textFill>
                  <w14:solidFill>
                    <w14:schemeClr w14:val="tx1"/>
                  </w14:solidFill>
                </w14:textFill>
              </w:rPr>
              <w:t>出具已获取信息</w:t>
            </w:r>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（六）其他处理</w:t>
            </w:r>
          </w:p>
        </w:tc>
        <w:tc>
          <w:tcPr>
            <w:tcW w:w="2976" w:type="dxa"/>
            <w:shd w:val="clear" w:color="auto" w:fill="auto"/>
            <w:vAlign w:val="center"/>
          </w:tcPr>
          <w:p>
            <w:pPr>
              <w:widowControl/>
              <w:spacing w:line="300" w:lineRule="exact"/>
              <w:rPr>
                <w:rFonts w:ascii="仿宋_GB2312" w:hAnsi="楷体" w:eastAsia="仿宋_GB2312"/>
                <w:color w:val="000000" w:themeColor="text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1.申请人无正当理由逾期不补正、行政机关不再处理其政府信息公开申请</w:t>
            </w:r>
          </w:p>
        </w:tc>
        <w:tc>
          <w:tcPr>
            <w:tcW w:w="747"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p>
        </w:tc>
        <w:tc>
          <w:tcPr>
            <w:tcW w:w="2976" w:type="dxa"/>
            <w:shd w:val="clear" w:color="auto" w:fill="auto"/>
            <w:vAlign w:val="center"/>
          </w:tcPr>
          <w:p>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p>
        </w:tc>
        <w:tc>
          <w:tcPr>
            <w:tcW w:w="2976" w:type="dxa"/>
            <w:shd w:val="clear" w:color="auto" w:fill="auto"/>
            <w:vAlign w:val="center"/>
          </w:tcPr>
          <w:p>
            <w:pPr>
              <w:widowControl/>
              <w:spacing w:line="300" w:lineRule="exact"/>
              <w:rPr>
                <w:rFonts w:ascii="仿宋_GB2312" w:hAnsi="黑体" w:eastAsia="仿宋_GB2312"/>
                <w:color w:val="000000" w:themeColor="text1"/>
                <w:kern w:val="0"/>
                <w:szCs w:val="21"/>
                <w14:textFill>
                  <w14:solidFill>
                    <w14:schemeClr w14:val="tx1"/>
                  </w14:solidFill>
                </w14:textFill>
              </w:rPr>
            </w:pPr>
            <w:r>
              <w:rPr>
                <w:rFonts w:hint="eastAsia" w:ascii="仿宋_GB2312" w:hAnsi="楷体" w:eastAsia="仿宋_GB2312"/>
                <w:color w:val="000000" w:themeColor="text1"/>
                <w14:textFill>
                  <w14:solidFill>
                    <w14:schemeClr w14:val="tx1"/>
                  </w14:solidFill>
                </w14:textFill>
              </w:rPr>
              <w:t>3.其他</w:t>
            </w:r>
          </w:p>
        </w:tc>
        <w:tc>
          <w:tcPr>
            <w:tcW w:w="747"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color w:val="000000" w:themeColor="text1"/>
                <w:szCs w:val="21"/>
                <w14:textFill>
                  <w14:solidFill>
                    <w14:schemeClr w14:val="tx1"/>
                  </w14:solidFill>
                </w14:textFill>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（七）总计</w:t>
            </w:r>
          </w:p>
        </w:tc>
        <w:tc>
          <w:tcPr>
            <w:tcW w:w="747"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color w:val="000000" w:themeColor="text1"/>
                <w:kern w:val="0"/>
                <w:szCs w:val="21"/>
                <w14:textFill>
                  <w14:solidFill>
                    <w14:schemeClr w14:val="tx1"/>
                  </w14:solidFill>
                </w14:textFill>
              </w:rPr>
            </w:pPr>
            <w:r>
              <w:rPr>
                <w:rFonts w:hint="eastAsia" w:ascii="黑体" w:hAnsi="黑体" w:eastAsia="黑体"/>
                <w:color w:val="000000" w:themeColor="text1"/>
                <w:kern w:val="0"/>
                <w:szCs w:val="21"/>
                <w14:textFill>
                  <w14:solidFill>
                    <w14:schemeClr w14:val="tx1"/>
                  </w14:solidFill>
                </w14:textFill>
              </w:rPr>
              <w:t>四、结转下年度继续办理</w:t>
            </w:r>
          </w:p>
        </w:tc>
        <w:tc>
          <w:tcPr>
            <w:tcW w:w="747"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c>
          <w:tcPr>
            <w:tcW w:w="54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20"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67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525" w:type="dxa"/>
            <w:shd w:val="clear" w:color="auto" w:fill="auto"/>
            <w:tcMar>
              <w:left w:w="108" w:type="dxa"/>
              <w:right w:w="108" w:type="dxa"/>
            </w:tcMar>
            <w:vAlign w:val="center"/>
          </w:tcPr>
          <w:p>
            <w:pPr>
              <w:widowControl/>
              <w:spacing w:line="240" w:lineRule="exact"/>
              <w:jc w:val="center"/>
              <w:rPr>
                <w:rFonts w:ascii="仿宋_GB2312" w:eastAsia="仿宋_GB2312"/>
                <w:color w:val="000000" w:themeColor="text1"/>
                <w:szCs w:val="21"/>
                <w14:textFill>
                  <w14:solidFill>
                    <w14:schemeClr w14:val="tx1"/>
                  </w14:solidFill>
                </w14:textFill>
              </w:rPr>
            </w:pPr>
            <w:r>
              <w:rPr>
                <w:rFonts w:hint="eastAsia" w:ascii="仿宋_GB2312" w:eastAsia="仿宋_GB2312"/>
                <w:color w:val="000000" w:themeColor="text1"/>
                <w:szCs w:val="21"/>
                <w14:textFill>
                  <w14:solidFill>
                    <w14:schemeClr w14:val="tx1"/>
                  </w14:solidFill>
                </w14:textFill>
              </w:rPr>
              <w:t>0</w:t>
            </w:r>
          </w:p>
        </w:tc>
        <w:tc>
          <w:tcPr>
            <w:tcW w:w="701" w:type="dxa"/>
            <w:shd w:val="clear" w:color="auto" w:fill="auto"/>
            <w:tcMar>
              <w:left w:w="108" w:type="dxa"/>
              <w:right w:w="108" w:type="dxa"/>
            </w:tcMar>
            <w:vAlign w:val="center"/>
          </w:tcPr>
          <w:p>
            <w:pPr>
              <w:widowControl/>
              <w:spacing w:line="240" w:lineRule="exact"/>
              <w:jc w:val="center"/>
              <w:rPr>
                <w:rFonts w:hint="eastAsia" w:ascii="仿宋_GB2312" w:eastAsia="仿宋_GB2312"/>
                <w:color w:val="000000" w:themeColor="text1"/>
                <w:szCs w:val="21"/>
                <w:lang w:eastAsia="zh-CN"/>
                <w14:textFill>
                  <w14:solidFill>
                    <w14:schemeClr w14:val="tx1"/>
                  </w14:solidFill>
                </w14:textFill>
              </w:rPr>
            </w:pPr>
            <w:r>
              <w:rPr>
                <w:rFonts w:hint="eastAsia" w:ascii="仿宋_GB2312" w:eastAsia="仿宋_GB2312"/>
                <w:color w:val="000000" w:themeColor="text1"/>
                <w:szCs w:val="21"/>
                <w:lang w:val="en-US" w:eastAsia="zh-CN"/>
                <w14:textFill>
                  <w14:solidFill>
                    <w14:schemeClr w14:val="tx1"/>
                  </w14:solidFill>
                </w14:textFill>
              </w:rPr>
              <w:t>0</w:t>
            </w:r>
          </w:p>
        </w:tc>
      </w:tr>
    </w:tbl>
    <w:p>
      <w:pPr>
        <w:pStyle w:val="3"/>
        <w:widowControl/>
        <w:spacing w:before="156" w:beforeLines="50" w:beforeAutospacing="0" w:after="156" w:afterLines="50" w:afterAutospacing="0" w:line="520" w:lineRule="exact"/>
        <w:ind w:firstLine="640" w:firstLineChars="200"/>
        <w:jc w:val="both"/>
        <w:rPr>
          <w:rFonts w:ascii="黑体" w:hAnsi="宋体" w:eastAsia="黑体" w:cs="黑体"/>
          <w:color w:val="000000"/>
          <w:sz w:val="32"/>
          <w:szCs w:val="32"/>
        </w:rPr>
      </w:pPr>
      <w:r>
        <w:rPr>
          <w:rFonts w:hint="eastAsia" w:ascii="黑体" w:hAnsi="宋体" w:eastAsia="黑体" w:cs="黑体"/>
          <w:color w:val="000000"/>
          <w:sz w:val="32"/>
          <w:szCs w:val="32"/>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kern w:val="0"/>
                <w:sz w:val="20"/>
              </w:rPr>
            </w:pPr>
            <w:r>
              <w:rPr>
                <w:rFonts w:ascii="黑体" w:hAnsi="黑体" w:eastAsia="黑体"/>
                <w:kern w:val="0"/>
                <w:sz w:val="20"/>
              </w:rPr>
              <w:t>结果</w:t>
            </w:r>
          </w:p>
          <w:p>
            <w:pPr>
              <w:widowControl/>
              <w:ind w:left="-149" w:leftChars="-71" w:right="-170" w:rightChars="-81"/>
              <w:jc w:val="center"/>
              <w:rPr>
                <w:rFonts w:ascii="黑体" w:hAnsi="黑体" w:eastAsia="黑体"/>
              </w:rPr>
            </w:pPr>
            <w:r>
              <w:rPr>
                <w:rFonts w:ascii="黑体" w:hAnsi="黑体" w:eastAsia="黑体"/>
                <w:kern w:val="0"/>
                <w:sz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rPr>
            </w:pPr>
            <w:r>
              <w:rPr>
                <w:rFonts w:ascii="黑体" w:hAnsi="黑体" w:eastAsia="黑体"/>
                <w:kern w:val="0"/>
                <w:sz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rPr>
            </w:pPr>
            <w:r>
              <w:rPr>
                <w:rFonts w:ascii="黑体" w:hAnsi="黑体" w:eastAsia="黑体"/>
                <w:kern w:val="0"/>
                <w:sz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kern w:val="0"/>
                <w:sz w:val="20"/>
              </w:rPr>
            </w:pPr>
            <w:r>
              <w:rPr>
                <w:rFonts w:ascii="黑体" w:hAnsi="黑体" w:eastAsia="黑体"/>
                <w:kern w:val="0"/>
                <w:sz w:val="20"/>
              </w:rPr>
              <w:t>尚未</w:t>
            </w:r>
          </w:p>
          <w:p>
            <w:pPr>
              <w:widowControl/>
              <w:ind w:left="-118" w:leftChars="-56" w:right="-118" w:rightChars="-56"/>
              <w:jc w:val="center"/>
              <w:rPr>
                <w:rFonts w:ascii="黑体" w:hAnsi="黑体" w:eastAsia="黑体"/>
              </w:rPr>
            </w:pPr>
            <w:r>
              <w:rPr>
                <w:rFonts w:ascii="黑体" w:hAnsi="黑体" w:eastAsia="黑体"/>
                <w:kern w:val="0"/>
                <w:sz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rPr>
            </w:pPr>
            <w:r>
              <w:rPr>
                <w:rFonts w:ascii="黑体" w:hAnsi="黑体" w:eastAsia="黑体"/>
                <w:kern w:val="0"/>
                <w:sz w:val="20"/>
              </w:rPr>
              <w:t>总</w:t>
            </w:r>
          </w:p>
          <w:p>
            <w:pPr>
              <w:widowControl/>
              <w:spacing w:line="320" w:lineRule="exact"/>
              <w:jc w:val="center"/>
              <w:rPr>
                <w:rFonts w:ascii="黑体" w:hAnsi="黑体" w:eastAsia="黑体"/>
              </w:rPr>
            </w:pPr>
            <w:r>
              <w:rPr>
                <w:rFonts w:ascii="黑体" w:hAnsi="黑体" w:eastAsia="黑体"/>
                <w:kern w:val="0"/>
                <w:sz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rPr>
            </w:pPr>
            <w:r>
              <w:rPr>
                <w:rFonts w:ascii="黑体" w:hAnsi="黑体" w:eastAsia="黑体"/>
                <w:kern w:val="0"/>
                <w:sz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rPr>
            </w:pPr>
            <w:r>
              <w:rPr>
                <w:rFonts w:ascii="黑体" w:hAnsi="黑体" w:eastAsia="黑体"/>
                <w:kern w:val="0"/>
                <w:sz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kern w:val="0"/>
                <w:sz w:val="20"/>
              </w:rPr>
            </w:pPr>
            <w:r>
              <w:rPr>
                <w:rFonts w:ascii="黑体" w:hAnsi="黑体" w:eastAsia="黑体"/>
                <w:kern w:val="0"/>
                <w:sz w:val="20"/>
              </w:rPr>
              <w:t>其他</w:t>
            </w:r>
          </w:p>
          <w:p>
            <w:pPr>
              <w:widowControl/>
              <w:ind w:left="-126" w:leftChars="-60" w:right="-136" w:rightChars="-65"/>
              <w:jc w:val="center"/>
              <w:rPr>
                <w:rFonts w:ascii="黑体" w:hAnsi="黑体" w:eastAsia="黑体"/>
              </w:rPr>
            </w:pPr>
            <w:r>
              <w:rPr>
                <w:rFonts w:ascii="黑体" w:hAnsi="黑体" w:eastAsia="黑体"/>
                <w:kern w:val="0"/>
                <w:sz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kern w:val="0"/>
                <w:sz w:val="20"/>
              </w:rPr>
            </w:pPr>
            <w:r>
              <w:rPr>
                <w:rFonts w:ascii="黑体" w:hAnsi="黑体" w:eastAsia="黑体"/>
                <w:kern w:val="0"/>
                <w:sz w:val="20"/>
              </w:rPr>
              <w:t>尚未</w:t>
            </w:r>
          </w:p>
          <w:p>
            <w:pPr>
              <w:widowControl/>
              <w:ind w:left="-164" w:leftChars="-78" w:right="-153" w:rightChars="-73"/>
              <w:jc w:val="center"/>
              <w:rPr>
                <w:rFonts w:ascii="黑体" w:hAnsi="黑体" w:eastAsia="黑体"/>
              </w:rPr>
            </w:pPr>
            <w:r>
              <w:rPr>
                <w:rFonts w:ascii="黑体" w:hAnsi="黑体" w:eastAsia="黑体"/>
                <w:kern w:val="0"/>
                <w:sz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rPr>
            </w:pPr>
            <w:r>
              <w:rPr>
                <w:rFonts w:ascii="黑体" w:hAnsi="黑体" w:eastAsia="黑体"/>
                <w:kern w:val="0"/>
                <w:sz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kern w:val="0"/>
                <w:sz w:val="20"/>
              </w:rPr>
            </w:pPr>
            <w:r>
              <w:rPr>
                <w:rFonts w:ascii="黑体" w:hAnsi="黑体" w:eastAsia="黑体"/>
                <w:kern w:val="0"/>
                <w:sz w:val="20"/>
              </w:rPr>
              <w:t>结果</w:t>
            </w:r>
          </w:p>
          <w:p>
            <w:pPr>
              <w:widowControl/>
              <w:ind w:left="-136" w:leftChars="-65" w:right="-124" w:rightChars="-59"/>
              <w:jc w:val="center"/>
              <w:rPr>
                <w:rFonts w:ascii="黑体" w:hAnsi="黑体" w:eastAsia="黑体"/>
              </w:rPr>
            </w:pPr>
            <w:r>
              <w:rPr>
                <w:rFonts w:ascii="黑体" w:hAnsi="黑体" w:eastAsia="黑体"/>
                <w:kern w:val="0"/>
                <w:sz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kern w:val="0"/>
                <w:sz w:val="20"/>
              </w:rPr>
            </w:pPr>
            <w:r>
              <w:rPr>
                <w:rFonts w:ascii="黑体" w:hAnsi="黑体" w:eastAsia="黑体"/>
                <w:kern w:val="0"/>
                <w:sz w:val="20"/>
              </w:rPr>
              <w:t>其他</w:t>
            </w:r>
          </w:p>
          <w:p>
            <w:pPr>
              <w:widowControl/>
              <w:ind w:left="-173" w:leftChars="-83" w:right="-134" w:rightChars="-64" w:hanging="1"/>
              <w:jc w:val="center"/>
              <w:rPr>
                <w:rFonts w:ascii="黑体" w:hAnsi="黑体" w:eastAsia="黑体"/>
              </w:rPr>
            </w:pPr>
            <w:r>
              <w:rPr>
                <w:rFonts w:ascii="黑体" w:hAnsi="黑体" w:eastAsia="黑体"/>
                <w:kern w:val="0"/>
                <w:sz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rPr>
            </w:pPr>
            <w:r>
              <w:rPr>
                <w:rFonts w:ascii="黑体" w:hAnsi="黑体" w:eastAsia="黑体"/>
                <w:kern w:val="0"/>
                <w:sz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eastAsiaTheme="minorEastAsia"/>
                <w:lang w:val="en-US" w:eastAsia="zh-CN"/>
              </w:rPr>
            </w:pPr>
            <w:r>
              <w:rPr>
                <w:rFonts w:hint="eastAsia"/>
                <w:lang w:val="en-US" w:eastAsia="zh-CN"/>
              </w:rPr>
              <w:t>0</w:t>
            </w:r>
          </w:p>
        </w:tc>
      </w:tr>
    </w:tbl>
    <w:p>
      <w:pPr>
        <w:pStyle w:val="3"/>
        <w:widowControl/>
        <w:spacing w:beforeAutospacing="0" w:afterAutospacing="0" w:line="560" w:lineRule="exact"/>
        <w:ind w:firstLine="640" w:firstLineChars="200"/>
        <w:jc w:val="both"/>
        <w:rPr>
          <w:rFonts w:ascii="黑体" w:hAnsi="宋体" w:eastAsia="黑体" w:cs="黑体"/>
          <w:color w:val="000000"/>
          <w:sz w:val="32"/>
          <w:szCs w:val="32"/>
        </w:rPr>
      </w:pPr>
      <w:r>
        <w:rPr>
          <w:rFonts w:ascii="黑体" w:hAnsi="宋体" w:eastAsia="黑体" w:cs="黑体"/>
          <w:color w:val="000000"/>
          <w:sz w:val="32"/>
          <w:szCs w:val="32"/>
        </w:rPr>
        <w:t>五、存在的主要问题及改进情况</w:t>
      </w:r>
    </w:p>
    <w:p>
      <w:pPr>
        <w:pStyle w:val="3"/>
        <w:widowControl/>
        <w:spacing w:beforeAutospacing="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我局政府信息公开工作有序推进并取得一定成效，但对照工作标准和群众需求，仍存在诸多短板与不足。</w:t>
      </w:r>
      <w:r>
        <w:rPr>
          <w:rFonts w:hint="eastAsia" w:ascii="仿宋_GB2312" w:hAnsi="仿宋_GB2312" w:eastAsia="仿宋_GB2312" w:cs="仿宋_GB2312"/>
          <w:color w:val="000000"/>
          <w:sz w:val="32"/>
          <w:szCs w:val="32"/>
          <w:shd w:val="clear" w:color="auto" w:fill="FFFFFF"/>
          <w:lang w:eastAsia="zh-CN"/>
        </w:rPr>
        <w:t>比如</w:t>
      </w:r>
      <w:r>
        <w:rPr>
          <w:rFonts w:hint="eastAsia" w:ascii="仿宋_GB2312" w:hAnsi="仿宋_GB2312" w:eastAsia="仿宋_GB2312" w:cs="仿宋_GB2312"/>
          <w:color w:val="000000"/>
          <w:sz w:val="32"/>
          <w:szCs w:val="32"/>
          <w:shd w:val="clear" w:color="auto" w:fill="FFFFFF"/>
        </w:rPr>
        <w:t>信息公开内容不够全面，未能充分满足群众的知情需求</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信息公开标准化规范化程度不高，公开质量</w:t>
      </w:r>
      <w:r>
        <w:rPr>
          <w:rFonts w:hint="eastAsia" w:ascii="仿宋_GB2312" w:hAnsi="仿宋_GB2312" w:eastAsia="仿宋_GB2312" w:cs="仿宋_GB2312"/>
          <w:color w:val="000000"/>
          <w:sz w:val="32"/>
          <w:szCs w:val="32"/>
          <w:shd w:val="clear" w:color="auto" w:fill="FFFFFF"/>
          <w:lang w:eastAsia="zh-CN"/>
        </w:rPr>
        <w:t>还待进步</w:t>
      </w:r>
      <w:r>
        <w:rPr>
          <w:rFonts w:hint="eastAsia" w:ascii="仿宋_GB2312" w:hAnsi="仿宋_GB2312" w:eastAsia="仿宋_GB2312" w:cs="仿宋_GB2312"/>
          <w:color w:val="000000"/>
          <w:sz w:val="32"/>
          <w:szCs w:val="32"/>
          <w:shd w:val="clear" w:color="auto" w:fill="FFFFFF"/>
        </w:rPr>
        <w:t>；信息更新时效性不足，部分信息未及时维护更新。</w:t>
      </w:r>
    </w:p>
    <w:p>
      <w:pPr>
        <w:pStyle w:val="3"/>
        <w:widowControl/>
        <w:spacing w:beforeAutospacing="0" w:afterAutospacing="0" w:line="560" w:lineRule="exact"/>
        <w:ind w:firstLine="640" w:firstLineChars="200"/>
        <w:jc w:val="both"/>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针对以上问题，我局将聚焦短板、靶向发力，从三方面推进整改提升：一是强化能力建设</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组织工作人员深入学习《中华人民共和国政府信息公开条例》等规章制度，不断提升政策解读工作水平，切实提升业务能力和专业素养，增强干部职工做好信息公开工作的责任感与使命感。二是健全工作机制</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进一步理顺政务公开工作流程，明确各科室责任分工，完善信息公开指南和目录，严格落实“先审查、后公开”原则，加强保密审查与内容审核，推进政务公开标准化规范化建设。三是突出公开重点</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坚持以群众需求为导向，聚焦公众关注度高的城市管理、执法公示等领域，加大民生类信息公开力度，做到公开内容真实、具体、全面，切实保障群众的知情权、参与权和监督权。</w:t>
      </w:r>
    </w:p>
    <w:p>
      <w:pPr>
        <w:pStyle w:val="3"/>
        <w:widowControl/>
        <w:spacing w:beforeAutospacing="0" w:afterAutospacing="0" w:line="560" w:lineRule="exact"/>
        <w:ind w:firstLine="640" w:firstLineChars="200"/>
        <w:jc w:val="both"/>
        <w:rPr>
          <w:rFonts w:ascii="黑体" w:hAnsi="宋体" w:eastAsia="黑体" w:cs="黑体"/>
          <w:color w:val="000000"/>
          <w:sz w:val="32"/>
          <w:szCs w:val="32"/>
        </w:rPr>
      </w:pPr>
      <w:r>
        <w:rPr>
          <w:rFonts w:ascii="黑体" w:hAnsi="宋体" w:eastAsia="黑体" w:cs="黑体"/>
          <w:color w:val="000000"/>
          <w:sz w:val="32"/>
          <w:szCs w:val="32"/>
        </w:rPr>
        <w:t>六、其他需要报告的事项</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color w:val="333333"/>
          <w:kern w:val="0"/>
          <w:sz w:val="32"/>
          <w:szCs w:val="32"/>
          <w:highlight w:val="none"/>
          <w:shd w:val="clear" w:color="auto" w:fill="FFFFFF"/>
          <w:lang w:eastAsia="zh-CN"/>
        </w:rPr>
        <w:t>（一）</w:t>
      </w:r>
      <w:r>
        <w:rPr>
          <w:rFonts w:hint="eastAsia" w:ascii="楷体" w:hAnsi="楷体" w:eastAsia="楷体" w:cs="楷体"/>
          <w:color w:val="333333"/>
          <w:kern w:val="0"/>
          <w:sz w:val="32"/>
          <w:szCs w:val="32"/>
          <w:highlight w:val="none"/>
          <w:shd w:val="clear" w:color="auto" w:fill="FFFFFF"/>
        </w:rPr>
        <w:t>收取信息处理费情况。</w:t>
      </w:r>
      <w:r>
        <w:rPr>
          <w:rFonts w:hint="eastAsia" w:ascii="仿宋_GB2312" w:hAnsi="仿宋_GB2312" w:eastAsia="仿宋_GB2312" w:cs="仿宋_GB2312"/>
          <w:sz w:val="32"/>
          <w:szCs w:val="32"/>
        </w:rPr>
        <w:t>依据《政府信息公开信息处理费管理办法》，我局没有收取信息处理费的情况。</w:t>
      </w:r>
    </w:p>
    <w:p>
      <w:pPr>
        <w:pStyle w:val="3"/>
        <w:widowControl/>
        <w:shd w:val="clear" w:color="auto" w:fill="FFFFFF"/>
        <w:spacing w:beforeAutospacing="0" w:afterAutospacing="0" w:line="560" w:lineRule="exact"/>
        <w:ind w:firstLine="640" w:firstLineChars="200"/>
        <w:jc w:val="both"/>
        <w:rPr>
          <w:rFonts w:ascii="微软雅黑" w:hAnsi="微软雅黑" w:eastAsia="微软雅黑" w:cs="微软雅黑"/>
          <w:color w:val="333333"/>
          <w:sz w:val="21"/>
          <w:szCs w:val="21"/>
        </w:rPr>
      </w:pPr>
      <w:r>
        <w:rPr>
          <w:rFonts w:hint="eastAsia" w:ascii="楷体" w:hAnsi="楷体" w:eastAsia="楷体" w:cs="楷体"/>
          <w:color w:val="333333"/>
          <w:kern w:val="0"/>
          <w:sz w:val="32"/>
          <w:szCs w:val="32"/>
          <w:highlight w:val="none"/>
          <w:shd w:val="clear" w:color="auto" w:fill="FFFFFF"/>
          <w:lang w:val="en-US" w:eastAsia="zh-CN" w:bidi="ar-SA"/>
        </w:rPr>
        <w:t>（二）落实上级年度政务公开工作要点情况。</w:t>
      </w:r>
      <w:r>
        <w:rPr>
          <w:rFonts w:hint="eastAsia" w:ascii="仿宋_GB2312" w:hAnsi="仿宋_GB2312" w:eastAsia="仿宋_GB2312" w:cs="仿宋_GB2312"/>
          <w:kern w:val="2"/>
          <w:sz w:val="32"/>
          <w:szCs w:val="32"/>
        </w:rPr>
        <w:t>紧扣上级政务公开工作部署要求，锚定重点领域信息公开关键环节，依托政府网站等公开平台，全面推行行政执法公示制度，严格落实行政执法事前、事中、事后全流程信息公开，以公开促规范、以透明强监督，切实保障社会公众的知情权与监督权。</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color w:val="333333"/>
          <w:kern w:val="0"/>
          <w:sz w:val="32"/>
          <w:szCs w:val="32"/>
          <w:highlight w:val="none"/>
          <w:shd w:val="clear" w:color="auto" w:fill="FFFFFF"/>
          <w:lang w:val="en-US" w:eastAsia="zh-CN" w:bidi="ar-SA"/>
        </w:rPr>
        <w:t>（三）人大代表建议和政协提案办理公开情况。</w:t>
      </w:r>
      <w:r>
        <w:rPr>
          <w:rFonts w:hint="eastAsia" w:ascii="仿宋_GB2312" w:hAnsi="仿宋_GB2312" w:eastAsia="仿宋_GB2312" w:cs="仿宋_GB2312"/>
          <w:sz w:val="32"/>
          <w:szCs w:val="32"/>
          <w:lang w:val="en-US" w:eastAsia="zh-CN"/>
        </w:rPr>
        <w:t>台儿庄区综合行政执法局共承办区十三届人大四次会议建议9件，承办区政协十届四次会议委员提案12件，所有承办的人大代表建议和政协提案均在规定的答复时限内答复完毕，并将答复件进行了主动公开。</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楷体" w:hAnsi="楷体" w:eastAsia="楷体" w:cs="楷体"/>
          <w:color w:val="333333"/>
          <w:kern w:val="0"/>
          <w:sz w:val="32"/>
          <w:szCs w:val="32"/>
          <w:highlight w:val="none"/>
          <w:shd w:val="clear" w:color="auto" w:fill="FFFFFF"/>
          <w:lang w:val="en-US" w:eastAsia="zh-CN" w:bidi="ar-SA"/>
        </w:rPr>
        <w:t>（四）政务公开工作创新情况：</w:t>
      </w:r>
      <w:r>
        <w:rPr>
          <w:rFonts w:hint="eastAsia" w:ascii="仿宋_GB2312" w:eastAsia="仿宋_GB2312"/>
          <w:color w:val="000000" w:themeColor="text1"/>
          <w:sz w:val="32"/>
          <w:szCs w:val="32"/>
          <w14:textFill>
            <w14:solidFill>
              <w14:schemeClr w14:val="tx1"/>
            </w14:solidFill>
          </w14:textFill>
        </w:rPr>
        <w:t>无。</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color w:val="333333"/>
          <w:kern w:val="0"/>
          <w:sz w:val="32"/>
          <w:szCs w:val="32"/>
          <w:highlight w:val="none"/>
          <w:shd w:val="clear" w:color="auto" w:fill="FFFFFF"/>
          <w:lang w:val="en-US" w:eastAsia="zh-CN" w:bidi="ar-SA"/>
        </w:rPr>
        <w:t>（五）本行政机关政府信息公开工作年度报告数据统计需要说明的事项。</w:t>
      </w:r>
      <w:r>
        <w:rPr>
          <w:rFonts w:hint="eastAsia" w:ascii="仿宋_GB2312" w:hAnsi="仿宋_GB2312" w:eastAsia="仿宋_GB2312" w:cs="仿宋_GB2312"/>
          <w:sz w:val="32"/>
          <w:szCs w:val="32"/>
        </w:rPr>
        <w:t>报告中所列数据的统计期限自202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年1月1日起至202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年12月31日止。</w:t>
      </w:r>
    </w:p>
    <w:p>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color w:val="333333"/>
          <w:kern w:val="0"/>
          <w:sz w:val="32"/>
          <w:szCs w:val="32"/>
          <w:highlight w:val="none"/>
          <w:shd w:val="clear" w:color="auto" w:fill="FFFFFF"/>
          <w:lang w:val="en-US" w:eastAsia="zh-CN" w:bidi="ar-SA"/>
        </w:rPr>
        <w:t>（六）本行政机关认为需要报告的其他事项：</w:t>
      </w:r>
      <w:r>
        <w:rPr>
          <w:rFonts w:hint="eastAsia" w:ascii="仿宋_GB2312" w:hAnsi="仿宋_GB2312" w:eastAsia="仿宋_GB2312" w:cs="仿宋_GB2312"/>
          <w:color w:val="000000" w:themeColor="text1"/>
          <w:sz w:val="32"/>
          <w:szCs w:val="32"/>
          <w14:textFill>
            <w14:solidFill>
              <w14:schemeClr w14:val="tx1"/>
            </w14:solidFill>
          </w14:textFill>
        </w:rPr>
        <w:t>无</w:t>
      </w:r>
      <w:r>
        <w:rPr>
          <w:rFonts w:hint="eastAsia" w:ascii="仿宋_GB2312" w:hAnsi="仿宋_GB2312" w:eastAsia="仿宋_GB2312" w:cs="仿宋_GB2312"/>
          <w:sz w:val="32"/>
          <w:szCs w:val="32"/>
        </w:rPr>
        <w:t>。</w:t>
      </w:r>
    </w:p>
    <w:p>
      <w:pPr>
        <w:pStyle w:val="3"/>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楷体" w:hAnsi="楷体" w:eastAsia="楷体" w:cs="楷体"/>
          <w:color w:val="333333"/>
          <w:kern w:val="0"/>
          <w:sz w:val="32"/>
          <w:szCs w:val="32"/>
          <w:highlight w:val="none"/>
          <w:shd w:val="clear" w:color="auto" w:fill="FFFFFF"/>
          <w:lang w:val="en-US" w:eastAsia="zh-CN" w:bidi="ar-SA"/>
        </w:rPr>
        <w:t>（七）其他有关文件专门要求通过政府信息公开工作年度报告予以报告的事项：</w:t>
      </w:r>
      <w:r>
        <w:rPr>
          <w:rFonts w:hint="eastAsia" w:ascii="仿宋_GB2312" w:hAnsi="仿宋_GB2312" w:eastAsia="仿宋_GB2312" w:cs="仿宋_GB2312"/>
          <w:color w:val="000000" w:themeColor="text1"/>
          <w:sz w:val="32"/>
          <w:szCs w:val="32"/>
          <w14:textFill>
            <w14:solidFill>
              <w14:schemeClr w14:val="tx1"/>
            </w14:solidFill>
          </w14:textFill>
        </w:rPr>
        <w:t>无</w:t>
      </w:r>
      <w:r>
        <w:rPr>
          <w:rFonts w:hint="eastAsia" w:ascii="仿宋_GB2312" w:hAnsi="仿宋_GB2312" w:eastAsia="仿宋_GB2312" w:cs="仿宋_GB2312"/>
          <w:sz w:val="32"/>
          <w:szCs w:val="32"/>
        </w:rPr>
        <w:t>。</w:t>
      </w:r>
    </w:p>
    <w:p>
      <w:pPr>
        <w:pStyle w:val="3"/>
        <w:widowControl/>
        <w:spacing w:beforeAutospacing="0" w:afterAutospacing="0" w:line="560" w:lineRule="exact"/>
        <w:ind w:firstLine="640" w:firstLineChars="200"/>
        <w:jc w:val="both"/>
        <w:rPr>
          <w:rFonts w:ascii="仿宋_GB2312" w:hAnsi="仿宋_GB2312" w:eastAsia="仿宋_GB2312" w:cs="仿宋_GB2312"/>
          <w:sz w:val="32"/>
          <w:szCs w:val="32"/>
        </w:rPr>
      </w:pPr>
    </w:p>
    <w:p>
      <w:pPr>
        <w:pStyle w:val="3"/>
        <w:widowControl/>
        <w:spacing w:beforeAutospacing="0" w:afterAutospacing="0" w:line="56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台儿庄区</w:t>
      </w:r>
      <w:r>
        <w:rPr>
          <w:rFonts w:ascii="仿宋_GB2312" w:hAnsi="仿宋_GB2312" w:eastAsia="仿宋_GB2312" w:cs="仿宋_GB2312"/>
          <w:sz w:val="32"/>
          <w:szCs w:val="32"/>
        </w:rPr>
        <w:t>综合行政执法局</w:t>
      </w:r>
    </w:p>
    <w:p>
      <w:pPr>
        <w:pStyle w:val="3"/>
        <w:widowControl/>
        <w:spacing w:beforeAutospacing="0" w:afterAutospacing="0" w:line="560" w:lineRule="exact"/>
        <w:ind w:right="480" w:firstLine="640" w:firstLineChars="200"/>
        <w:jc w:val="right"/>
        <w:rPr>
          <w:rFonts w:ascii="黑体" w:hAnsi="宋体" w:eastAsia="黑体" w:cs="黑体"/>
          <w:color w:val="000000"/>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ascii="仿宋_GB2312" w:hAnsi="仿宋_GB2312" w:eastAsia="仿宋_GB2312" w:cs="仿宋_GB2312"/>
          <w:sz w:val="32"/>
          <w:szCs w:val="32"/>
        </w:rPr>
        <w:t>年1月1</w:t>
      </w:r>
      <w:r>
        <w:rPr>
          <w:rFonts w:hint="eastAsia" w:ascii="仿宋_GB2312" w:hAnsi="仿宋_GB2312" w:eastAsia="仿宋_GB2312" w:cs="仿宋_GB2312"/>
          <w:sz w:val="32"/>
          <w:szCs w:val="32"/>
        </w:rPr>
        <w:t>6日</w:t>
      </w:r>
    </w:p>
    <w:sectPr>
      <w:pgSz w:w="11906" w:h="16838"/>
      <w:pgMar w:top="1985"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新宋体">
    <w:altName w:val="方正书宋_GBK"/>
    <w:panose1 w:val="02010609030101010101"/>
    <w:charset w:val="86"/>
    <w:family w:val="modern"/>
    <w:pitch w:val="default"/>
    <w:sig w:usb0="00000000" w:usb1="00000000" w:usb2="0000000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OWVjZjBiMTg5NjdmMzkyMjM1OGFlMjU5MzUwOGMifQ=="/>
  </w:docVars>
  <w:rsids>
    <w:rsidRoot w:val="0E1E1340"/>
    <w:rsid w:val="000A7663"/>
    <w:rsid w:val="00594FCE"/>
    <w:rsid w:val="005B1915"/>
    <w:rsid w:val="007C5CC3"/>
    <w:rsid w:val="0098642E"/>
    <w:rsid w:val="00F17B00"/>
    <w:rsid w:val="03B739A6"/>
    <w:rsid w:val="040E6A01"/>
    <w:rsid w:val="094E3677"/>
    <w:rsid w:val="0B197724"/>
    <w:rsid w:val="0E1E1340"/>
    <w:rsid w:val="0FFB7A4E"/>
    <w:rsid w:val="1AB6219F"/>
    <w:rsid w:val="1D355479"/>
    <w:rsid w:val="1F613473"/>
    <w:rsid w:val="2A87397A"/>
    <w:rsid w:val="2CF658A4"/>
    <w:rsid w:val="369167D9"/>
    <w:rsid w:val="373F6435"/>
    <w:rsid w:val="44F7014F"/>
    <w:rsid w:val="48BB76E5"/>
    <w:rsid w:val="50A13412"/>
    <w:rsid w:val="5647080A"/>
    <w:rsid w:val="56BE48C2"/>
    <w:rsid w:val="5C9D0986"/>
    <w:rsid w:val="5E424B3B"/>
    <w:rsid w:val="5ED775C3"/>
    <w:rsid w:val="5FEF180D"/>
    <w:rsid w:val="5FFFD53C"/>
    <w:rsid w:val="62A10441"/>
    <w:rsid w:val="639C7FAE"/>
    <w:rsid w:val="662D3A8D"/>
    <w:rsid w:val="696372B1"/>
    <w:rsid w:val="6B036F9E"/>
    <w:rsid w:val="6B7ABDDC"/>
    <w:rsid w:val="6D97E44B"/>
    <w:rsid w:val="6E5E01D2"/>
    <w:rsid w:val="6EFF4B15"/>
    <w:rsid w:val="6F557D12"/>
    <w:rsid w:val="6F759318"/>
    <w:rsid w:val="720C1885"/>
    <w:rsid w:val="72AF4D22"/>
    <w:rsid w:val="74EB541F"/>
    <w:rsid w:val="757CB1EB"/>
    <w:rsid w:val="757FC30D"/>
    <w:rsid w:val="775B248E"/>
    <w:rsid w:val="77AD875D"/>
    <w:rsid w:val="77B39E4E"/>
    <w:rsid w:val="7BFBBEE2"/>
    <w:rsid w:val="7BFD370B"/>
    <w:rsid w:val="7BFF8558"/>
    <w:rsid w:val="7CD4D46B"/>
    <w:rsid w:val="7F5D94D5"/>
    <w:rsid w:val="7FAF770C"/>
    <w:rsid w:val="7FB8A277"/>
    <w:rsid w:val="7FE653B9"/>
    <w:rsid w:val="7FEDCDBF"/>
    <w:rsid w:val="7FF12E90"/>
    <w:rsid w:val="7FFFD2AA"/>
    <w:rsid w:val="9FEF034E"/>
    <w:rsid w:val="9FF6566A"/>
    <w:rsid w:val="BFE7F14D"/>
    <w:rsid w:val="BFF55130"/>
    <w:rsid w:val="CB5ADB7F"/>
    <w:rsid w:val="CF20B6DB"/>
    <w:rsid w:val="CFE7460D"/>
    <w:rsid w:val="D6FF0603"/>
    <w:rsid w:val="DEDB94C2"/>
    <w:rsid w:val="DF5FAF77"/>
    <w:rsid w:val="EB3CE836"/>
    <w:rsid w:val="EB7F61BB"/>
    <w:rsid w:val="EFA50D4E"/>
    <w:rsid w:val="F2498FCC"/>
    <w:rsid w:val="F6BF6C12"/>
    <w:rsid w:val="F7E3FAD3"/>
    <w:rsid w:val="F9FBFDE9"/>
    <w:rsid w:val="FC2D2B25"/>
    <w:rsid w:val="FD939455"/>
    <w:rsid w:val="FDFE29D4"/>
    <w:rsid w:val="FEFDEFA2"/>
    <w:rsid w:val="FFD9F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ind w:firstLine="645"/>
    </w:pPr>
    <w:rPr>
      <w:rFonts w:ascii="仿宋_GB2312" w:hAnsi="Times New Roman" w:eastAsia="仿宋_GB2312" w:cs="Times New Roman"/>
      <w:sz w:val="32"/>
      <w:szCs w:val="20"/>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styleId="7">
    <w:name w:val="Hyperlink"/>
    <w:basedOn w:val="5"/>
    <w:qFormat/>
    <w:uiPriority w:val="0"/>
    <w:rPr>
      <w:color w:val="0000FF"/>
      <w:u w:val="single"/>
    </w:rPr>
  </w:style>
  <w:style w:type="character" w:customStyle="1" w:styleId="8">
    <w:name w:val="正文文本缩进 字符"/>
    <w:basedOn w:val="5"/>
    <w:link w:val="2"/>
    <w:qFormat/>
    <w:uiPriority w:val="0"/>
    <w:rPr>
      <w:rFonts w:ascii="仿宋_GB2312" w:eastAsia="仿宋_GB2312"/>
      <w:kern w:val="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1416</Words>
  <Characters>1492</Characters>
  <Lines>22</Lines>
  <Paragraphs>6</Paragraphs>
  <TotalTime>2</TotalTime>
  <ScaleCrop>false</ScaleCrop>
  <LinksUpToDate>false</LinksUpToDate>
  <CharactersWithSpaces>1493</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2024-01-21T09:47:00Z</dcterms:created>
  <dc:creator>风吹九里</dc:creator>
  <cp:lastModifiedBy>lenovo</cp:lastModifiedBy>
  <dcterms:modified xsi:type="dcterms:W3CDTF">2026-01-27T14:12:27Z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86F79D37A57BBA614B577869896095A8</vt:lpwstr>
  </property>
  <property fmtid="{D5CDD505-2E9C-101B-9397-08002B2CF9AE}" pid="4" name="KSOTemplateDocerSaveRecord">
    <vt:lpwstr>eyJoZGlkIjoiMjA5YzU0YWI5NWNiMThkYjBmZTRiN2MzZTc1YWYxY2QiLCJ1c2VySWQiOiIxNzY4Mzc4MTMxIn0=</vt:lpwstr>
  </property>
</Properties>
</file>