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FAA65">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000000" w:themeColor="text1"/>
          <w:spacing w:val="-17"/>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t>枣庄市台儿庄区</w:t>
      </w:r>
      <w:r>
        <w:rPr>
          <w:rFonts w:hint="eastAsia" w:ascii="方正小标宋简体" w:hAnsi="方正小标宋简体" w:eastAsia="方正小标宋简体" w:cs="方正小标宋简体"/>
          <w:bCs/>
          <w:color w:val="000000" w:themeColor="text1"/>
          <w:spacing w:val="-17"/>
          <w:sz w:val="44"/>
          <w:szCs w:val="44"/>
          <w:shd w:val="clear" w:color="auto" w:fill="FFFFFF"/>
          <w14:textFill>
            <w14:solidFill>
              <w14:schemeClr w14:val="tx1"/>
            </w14:solidFill>
          </w14:textFill>
        </w:rPr>
        <w:t>科学技术局</w:t>
      </w:r>
    </w:p>
    <w:p w14:paraId="049563CA">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7"/>
          <w:sz w:val="44"/>
          <w:szCs w:val="44"/>
          <w:shd w:val="clear" w:color="auto" w:fill="FFFFFF"/>
          <w14:textFill>
            <w14:solidFill>
              <w14:schemeClr w14:val="tx1"/>
            </w14:solidFill>
          </w14:textFill>
        </w:rPr>
        <w:t>2024年政府信息公开工作</w:t>
      </w:r>
      <w:r>
        <w:rPr>
          <w:rFonts w:hint="eastAsia" w:ascii="方正小标宋简体" w:hAnsi="方正小标宋简体" w:eastAsia="方正小标宋简体" w:cs="方正小标宋简体"/>
          <w:bCs/>
          <w:color w:val="000000" w:themeColor="text1"/>
          <w:sz w:val="44"/>
          <w:szCs w:val="44"/>
          <w:shd w:val="clear" w:color="auto" w:fill="FFFFFF"/>
          <w14:textFill>
            <w14:solidFill>
              <w14:schemeClr w14:val="tx1"/>
            </w14:solidFill>
          </w14:textFill>
        </w:rPr>
        <w:t>年度报告</w:t>
      </w:r>
    </w:p>
    <w:p w14:paraId="5DC49345">
      <w:pPr>
        <w:pStyle w:val="8"/>
        <w:shd w:val="clear" w:color="auto" w:fill="FFFFFF"/>
        <w:spacing w:before="0" w:beforeAutospacing="0" w:after="0" w:afterAutospacing="0"/>
        <w:ind w:firstLine="420"/>
        <w:jc w:val="both"/>
        <w:rPr>
          <w:rFonts w:cs="宋体"/>
          <w:color w:val="000000" w:themeColor="text1"/>
          <w:szCs w:val="24"/>
          <w14:textFill>
            <w14:solidFill>
              <w14:schemeClr w14:val="tx1"/>
            </w14:solidFill>
          </w14:textFill>
        </w:rPr>
      </w:pPr>
    </w:p>
    <w:p w14:paraId="6570EA6E">
      <w:pPr>
        <w:pStyle w:val="8"/>
        <w:shd w:val="clear" w:color="auto" w:fill="FFFFFF"/>
        <w:spacing w:before="0" w:beforeAutospacing="0" w:after="0" w:afterAutospacing="0" w:line="560" w:lineRule="exact"/>
        <w:ind w:firstLine="618"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根据新修订的《中华人民共和国政府信息公开条例》、《国务院办公厅政府信息与政务公开办公室关于政府信息公开工作年度报告有关事项的通知》规定以及区政府办《关于做好2024年政府信息公开工作年度报告编制和发布工作的通知》的工作部署，结合我局工作实际，编制台儿庄区科学技术局2024年政府信息公开工作年度报告。本报告由总体情况、主动公开政府信息情况、收到和处理政府信息公开申请情况、政府信息公开行政复议、行政诉讼情况、存在的主要问题及改进情况、其他需要报告的事项共六个部分组成。本报告中所列数据的统计时限为2024年1月1日至2024年12月31日。本报告可通过台儿庄区政府门户网站（http：//www.tez.gov.cn/）查阅或下载。如对本报告有疑问，请与台儿庄区科学技术局联系（地址：枣庄市台儿庄区兰祺文化交流中心四楼；邮编：277400；联系电话：0632-6611541；电子邮箱：</w:t>
      </w:r>
      <w:r>
        <w:fldChar w:fldCharType="begin"/>
      </w:r>
      <w:r>
        <w:instrText xml:space="preserve"> HYPERLINK "mailto:tezkjj@zz.shandong.cn）。" </w:instrText>
      </w:r>
      <w:r>
        <w:fldChar w:fldCharType="separate"/>
      </w:r>
      <w:r>
        <w:rPr>
          <w:rStyle w:val="15"/>
          <w:rFonts w:hint="eastAsia" w:ascii="仿宋_GB2312" w:hAnsi="仿宋_GB2312" w:eastAsia="仿宋_GB2312" w:cs="仿宋_GB2312"/>
          <w:color w:val="000000" w:themeColor="text1"/>
          <w:kern w:val="2"/>
          <w:sz w:val="32"/>
          <w:szCs w:val="32"/>
          <w:u w:val="none"/>
          <w14:textFill>
            <w14:solidFill>
              <w14:schemeClr w14:val="tx1"/>
            </w14:solidFill>
          </w14:textFill>
        </w:rPr>
        <w:t>tezkjj@zz.shandong.cn）。</w:t>
      </w:r>
      <w:r>
        <w:rPr>
          <w:rStyle w:val="15"/>
          <w:rFonts w:hint="eastAsia" w:ascii="仿宋_GB2312" w:hAnsi="仿宋_GB2312" w:eastAsia="仿宋_GB2312" w:cs="仿宋_GB2312"/>
          <w:color w:val="000000" w:themeColor="text1"/>
          <w:kern w:val="2"/>
          <w:sz w:val="32"/>
          <w:szCs w:val="32"/>
          <w:u w:val="none"/>
          <w14:textFill>
            <w14:solidFill>
              <w14:schemeClr w14:val="tx1"/>
            </w14:solidFill>
          </w14:textFill>
        </w:rPr>
        <w:fldChar w:fldCharType="end"/>
      </w:r>
    </w:p>
    <w:p w14:paraId="02DF2716">
      <w:pPr>
        <w:pStyle w:val="8"/>
        <w:shd w:val="clear" w:color="auto" w:fill="FFFFFF"/>
        <w:spacing w:before="0" w:beforeAutospacing="0" w:after="0" w:afterAutospacing="0" w:line="560" w:lineRule="exact"/>
        <w:ind w:firstLine="618"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一、总体情况</w:t>
      </w:r>
    </w:p>
    <w:p w14:paraId="6BA58AC5">
      <w:pPr>
        <w:spacing w:line="560" w:lineRule="exact"/>
        <w:ind w:firstLine="618"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2024年，台儿庄区科学技术局认真落实《中华人民共和国政府信息公开条例》文件精神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推动政务信息公开各项工作有序进行，进一步加大政务公开力度，优化工作流程，努力提高政府信息公开的效率和质量，为推动我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科技事业的高质量发展营造了良好的政务环境。</w:t>
      </w:r>
    </w:p>
    <w:p w14:paraId="6357B4B3">
      <w:pPr>
        <w:spacing w:line="560" w:lineRule="exact"/>
        <w:ind w:firstLine="618"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1.主动公开</w:t>
      </w:r>
      <w:r>
        <w:rPr>
          <w:rFonts w:ascii="楷体_GB2312" w:hAnsi="楷体_GB2312" w:eastAsia="楷体_GB2312" w:cs="楷体_GB2312"/>
          <w:color w:val="000000" w:themeColor="text1"/>
          <w:sz w:val="32"/>
          <w:szCs w:val="32"/>
          <w:highlight w:val="none"/>
          <w14:textFill>
            <w14:solidFill>
              <w14:schemeClr w14:val="tx1"/>
            </w14:solidFill>
          </w14:textFill>
        </w:rPr>
        <w:t>情况</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年，区</w:t>
      </w:r>
      <w:r>
        <w:rPr>
          <w:rFonts w:ascii="仿宋_GB2312" w:hAnsi="仿宋_GB2312" w:eastAsia="仿宋_GB2312" w:cs="仿宋_GB2312"/>
          <w:color w:val="000000" w:themeColor="text1"/>
          <w:sz w:val="32"/>
          <w:szCs w:val="32"/>
          <w:highlight w:val="none"/>
          <w14:textFill>
            <w14:solidFill>
              <w14:schemeClr w14:val="tx1"/>
            </w14:solidFill>
          </w14:textFill>
        </w:rPr>
        <w:t>科学技术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局持续完善信息公开制度，从信息收集、整理、审核到发布的各个环节进行规范，切实提高政府信息公开工作质量。重点围绕科技工作，加大公开力度，在政府门户网站上及时公布科技工作信息，切实保障公众的知情权、参与权和监督权。</w:t>
      </w:r>
    </w:p>
    <w:p w14:paraId="2A428D08">
      <w:pPr>
        <w:spacing w:line="560" w:lineRule="exact"/>
        <w:ind w:firstLine="618"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2.依申请公开</w:t>
      </w:r>
      <w:r>
        <w:rPr>
          <w:rFonts w:ascii="楷体_GB2312" w:hAnsi="楷体_GB2312" w:eastAsia="楷体_GB2312" w:cs="楷体_GB2312"/>
          <w:color w:val="000000" w:themeColor="text1"/>
          <w:sz w:val="32"/>
          <w:szCs w:val="32"/>
          <w:highlight w:val="none"/>
          <w14:textFill>
            <w14:solidFill>
              <w14:schemeClr w14:val="tx1"/>
            </w14:solidFill>
          </w14:textFill>
        </w:rPr>
        <w:t>公开情况</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2024年，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学</w:t>
      </w:r>
      <w:r>
        <w:rPr>
          <w:rFonts w:hint="eastAsia" w:ascii="仿宋_GB2312" w:hAnsi="仿宋_GB2312" w:eastAsia="仿宋_GB2312" w:cs="仿宋_GB2312"/>
          <w:color w:val="000000" w:themeColor="text1"/>
          <w:sz w:val="32"/>
          <w:szCs w:val="32"/>
          <w:highlight w:val="none"/>
          <w14:textFill>
            <w14:solidFill>
              <w14:schemeClr w14:val="tx1"/>
            </w14:solidFill>
          </w14:textFill>
        </w:rPr>
        <w:t>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术</w:t>
      </w:r>
      <w:r>
        <w:rPr>
          <w:rFonts w:hint="eastAsia" w:ascii="仿宋_GB2312" w:hAnsi="仿宋_GB2312" w:eastAsia="仿宋_GB2312" w:cs="仿宋_GB2312"/>
          <w:color w:val="000000" w:themeColor="text1"/>
          <w:sz w:val="32"/>
          <w:szCs w:val="32"/>
          <w:highlight w:val="none"/>
          <w14:textFill>
            <w14:solidFill>
              <w14:schemeClr w14:val="tx1"/>
            </w14:solidFill>
          </w14:textFill>
        </w:rPr>
        <w:t>局没有收到政府信息公开申请。</w:t>
      </w:r>
    </w:p>
    <w:p w14:paraId="2ADAB708">
      <w:pPr>
        <w:spacing w:line="560" w:lineRule="exact"/>
        <w:ind w:firstLine="618"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3.政府信息管理</w:t>
      </w:r>
      <w:r>
        <w:rPr>
          <w:rFonts w:ascii="楷体_GB2312" w:hAnsi="楷体_GB2312" w:eastAsia="楷体_GB2312" w:cs="楷体_GB2312"/>
          <w:color w:val="000000" w:themeColor="text1"/>
          <w:sz w:val="32"/>
          <w:szCs w:val="32"/>
          <w:highlight w:val="none"/>
          <w14:textFill>
            <w14:solidFill>
              <w14:schemeClr w14:val="tx1"/>
            </w14:solidFill>
          </w14:textFill>
        </w:rPr>
        <w:t>情况</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高度重视政府信息公开工作，注重及时更新重点领域信息公开各栏目内容，切实强化信息发布审核制度的执行力度，按照“先审查后公开”的原则对所发布的信息均严格遵循先审核后发布的流程，对重点稿件进行反复校对。通过严格的审核与校对，确保发布信息的准确性，明确信息保密审核的程序和责任，对拟公开的政府信息进行保密审查，做到涉密的信息不上网，上网的信息不涉密。</w:t>
      </w:r>
    </w:p>
    <w:p w14:paraId="7E7E7D8C">
      <w:pPr>
        <w:spacing w:line="560" w:lineRule="exact"/>
        <w:ind w:firstLine="618" w:firstLineChars="200"/>
        <w:rPr>
          <w:rFonts w:ascii="楷体_GB2312" w:hAnsi="仿宋_GB2312" w:eastAsia="楷体_GB2312" w:cs="仿宋_GB2312"/>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32"/>
          <w:highlight w:val="none"/>
          <w14:textFill>
            <w14:solidFill>
              <w14:schemeClr w14:val="tx1"/>
            </w14:solidFill>
          </w14:textFill>
        </w:rPr>
        <w:t>4.平台建设情况。</w:t>
      </w:r>
    </w:p>
    <w:p w14:paraId="55616D09">
      <w:pPr>
        <w:spacing w:line="560" w:lineRule="exact"/>
        <w:ind w:firstLine="618"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明确信息公开的范围和内容，确保专栏专用，提升政府信息公开标准化规范化水平。开展定期检查工作，对发现的问题及时进行整改，做到查漏补缺无遗漏。坚守按时更新的原则，确保信息的时效性。对发布内容进行严格审核，保证内容严谨准确，格式统一规范，杜绝敏感词出现，切实提高发布信息的质量，为民众提供优质的政务信息服务。</w:t>
      </w:r>
    </w:p>
    <w:p w14:paraId="377EF6F2">
      <w:pPr>
        <w:spacing w:line="560" w:lineRule="exact"/>
        <w:ind w:firstLine="618" w:firstLineChars="200"/>
        <w:rPr>
          <w:rFonts w:ascii="楷体_GB2312" w:hAnsi="仿宋_GB2312" w:eastAsia="楷体_GB2312" w:cs="仿宋_GB2312"/>
          <w:color w:val="000000" w:themeColor="text1"/>
          <w:sz w:val="32"/>
          <w:szCs w:val="32"/>
          <w:highlight w:val="none"/>
          <w14:textFill>
            <w14:solidFill>
              <w14:schemeClr w14:val="tx1"/>
            </w14:solidFill>
          </w14:textFill>
        </w:rPr>
      </w:pPr>
      <w:r>
        <w:rPr>
          <w:rFonts w:hint="eastAsia" w:ascii="楷体_GB2312" w:hAnsi="仿宋_GB2312" w:eastAsia="楷体_GB2312" w:cs="仿宋_GB2312"/>
          <w:color w:val="000000" w:themeColor="text1"/>
          <w:sz w:val="32"/>
          <w:szCs w:val="32"/>
          <w:highlight w:val="none"/>
          <w14:textFill>
            <w14:solidFill>
              <w14:schemeClr w14:val="tx1"/>
            </w14:solidFill>
          </w14:textFill>
        </w:rPr>
        <w:t>5.监督保障情况。</w:t>
      </w:r>
    </w:p>
    <w:p w14:paraId="1E7B3DAD">
      <w:pPr>
        <w:pStyle w:val="8"/>
        <w:shd w:val="clear" w:color="auto" w:fill="FFFFFF"/>
        <w:spacing w:before="0" w:beforeAutospacing="0" w:after="0" w:afterAutospacing="0" w:line="560" w:lineRule="exact"/>
        <w:ind w:firstLine="618" w:firstLineChars="20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bookmarkStart w:id="10" w:name="_GoBack"/>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贯彻落实《中华人民共和国政府信息公开条例》，加强政府信息公开自查与整改，对政府部门反馈的问题，均按要求及时整改到位。参加政府举办的相关政务公开工作培训，及时传达相关会议精神，反馈政务信息公开工作中遇见的问题，保障信息公开的规范性。同时，广泛接受社会监督，鼓励民众对信息公开工作提出意见和建议，不断改进和完善工作。</w:t>
      </w:r>
    </w:p>
    <w:bookmarkEnd w:id="10"/>
    <w:p w14:paraId="73CD11B4">
      <w:pPr>
        <w:pStyle w:val="8"/>
        <w:shd w:val="clear" w:color="auto" w:fill="FFFFFF"/>
        <w:spacing w:before="0" w:beforeAutospacing="0" w:after="0" w:afterAutospacing="0" w:line="560" w:lineRule="exact"/>
        <w:ind w:firstLine="618" w:firstLineChars="200"/>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shd w:val="clear" w:color="auto" w:fill="FFFFFF"/>
          <w14:textFill>
            <w14:solidFill>
              <w14:schemeClr w14:val="tx1"/>
            </w14:solidFill>
          </w14:textFill>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14:paraId="2B8999E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4509A0">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14:paraId="1825838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E7BDFA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14:paraId="0B246547">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14:paraId="38E00CB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14:paraId="581411AC">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14:paraId="3E765B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B76649">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14:paraId="62E26654">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0827337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C980C36">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56CD57C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A46FA9">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40E3E95">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7CB8831">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2A247E42">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14:paraId="2FD6F51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58AE44">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43504A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28833BE">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AB7EF33">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34B45DAE">
        <w:tblPrEx>
          <w:tblCellMar>
            <w:top w:w="0" w:type="dxa"/>
            <w:left w:w="108" w:type="dxa"/>
            <w:bottom w:w="0" w:type="dxa"/>
            <w:right w:w="108" w:type="dxa"/>
          </w:tblCellMar>
        </w:tblPrEx>
        <w:trPr>
          <w:trHeight w:val="694"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45CD98">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7D6C27">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1B0DF79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C4FC4A5">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5B36EC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2A8990">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B85968">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403CF1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071978">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31507F">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4D2A2E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E7AA27">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E3F1EA">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14:paraId="378B9BF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60F85EA">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14:paraId="4D1249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F23E33">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B037D7">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14:paraId="7F31BCF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08253B">
            <w:pPr>
              <w:widowControl/>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D42A55">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bl>
    <w:p w14:paraId="20FD6CC6">
      <w:pPr>
        <w:rPr>
          <w:rFonts w:ascii="黑体" w:hAnsi="黑体" w:eastAsia="黑体" w:cs="黑体"/>
          <w:bCs/>
          <w:color w:val="000000" w:themeColor="text1"/>
          <w:kern w:val="0"/>
          <w:sz w:val="32"/>
          <w:szCs w:val="32"/>
          <w:shd w:val="clear" w:color="auto" w:fill="FFFFFF"/>
          <w:lang w:bidi="ar"/>
          <w14:textFill>
            <w14:solidFill>
              <w14:schemeClr w14:val="tx1"/>
            </w14:solidFill>
          </w14:textFill>
        </w:rPr>
      </w:pPr>
      <w:r>
        <w:rPr>
          <w:rFonts w:hint="eastAsia" w:ascii="黑体" w:hAnsi="黑体" w:eastAsia="黑体" w:cs="黑体"/>
          <w:bCs/>
          <w:color w:val="000000" w:themeColor="text1"/>
          <w:kern w:val="0"/>
          <w:sz w:val="32"/>
          <w:szCs w:val="32"/>
          <w:shd w:val="clear" w:color="auto" w:fill="FFFFFF"/>
          <w:lang w:bidi="ar"/>
          <w14:textFill>
            <w14:solidFill>
              <w14:schemeClr w14:val="tx1"/>
            </w14:solidFill>
          </w14:textFill>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53A8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2D327D0">
            <w:pPr>
              <w:widowControl/>
              <w:jc w:val="center"/>
              <w:rPr>
                <w:rFonts w:ascii="楷体_GB2312" w:hAnsi="黑体" w:eastAsia="楷体_GB2312"/>
                <w:color w:val="000000" w:themeColor="text1"/>
                <w:kern w:val="0"/>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（本列数据的勾稽关系为：第一项加第二项之和，</w:t>
            </w:r>
          </w:p>
          <w:p w14:paraId="58273C18">
            <w:pPr>
              <w:widowControl/>
              <w:jc w:val="center"/>
              <w:rPr>
                <w:rFonts w:ascii="仿宋_GB2312" w:eastAsia="仿宋_GB2312"/>
                <w:color w:val="000000" w:themeColor="text1"/>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等于第三项加第四项之和）</w:t>
            </w:r>
          </w:p>
        </w:tc>
        <w:tc>
          <w:tcPr>
            <w:tcW w:w="4448" w:type="dxa"/>
            <w:gridSpan w:val="7"/>
            <w:shd w:val="clear" w:color="auto" w:fill="auto"/>
            <w:tcMar>
              <w:left w:w="108" w:type="dxa"/>
              <w:right w:w="108" w:type="dxa"/>
            </w:tcMar>
            <w:vAlign w:val="center"/>
          </w:tcPr>
          <w:p w14:paraId="76C5232B">
            <w:pPr>
              <w:widowControl/>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申请人情况</w:t>
            </w:r>
          </w:p>
        </w:tc>
      </w:tr>
      <w:tr w14:paraId="37B5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1E3D97A">
            <w:pPr>
              <w:jc w:val="center"/>
              <w:rPr>
                <w:rFonts w:ascii="仿宋_GB2312" w:eastAsia="仿宋_GB2312"/>
                <w:color w:val="000000" w:themeColor="text1"/>
                <w:szCs w:val="21"/>
                <w14:textFill>
                  <w14:solidFill>
                    <w14:schemeClr w14:val="tx1"/>
                  </w14:solidFill>
                </w14:textFill>
              </w:rPr>
            </w:pPr>
          </w:p>
        </w:tc>
        <w:tc>
          <w:tcPr>
            <w:tcW w:w="747" w:type="dxa"/>
            <w:vMerge w:val="restart"/>
            <w:shd w:val="clear" w:color="auto" w:fill="auto"/>
            <w:tcMar>
              <w:left w:w="108" w:type="dxa"/>
              <w:right w:w="108" w:type="dxa"/>
            </w:tcMar>
            <w:vAlign w:val="center"/>
          </w:tcPr>
          <w:p w14:paraId="02105B2C">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自然人</w:t>
            </w:r>
          </w:p>
        </w:tc>
        <w:tc>
          <w:tcPr>
            <w:tcW w:w="3000" w:type="dxa"/>
            <w:gridSpan w:val="5"/>
            <w:shd w:val="clear" w:color="auto" w:fill="auto"/>
            <w:tcMar>
              <w:left w:w="108" w:type="dxa"/>
              <w:right w:w="108" w:type="dxa"/>
            </w:tcMar>
            <w:vAlign w:val="center"/>
          </w:tcPr>
          <w:p w14:paraId="7A673C94">
            <w:pPr>
              <w:widowControl/>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法人或其他组织</w:t>
            </w:r>
          </w:p>
        </w:tc>
        <w:tc>
          <w:tcPr>
            <w:tcW w:w="701" w:type="dxa"/>
            <w:vMerge w:val="restart"/>
            <w:shd w:val="clear" w:color="auto" w:fill="auto"/>
            <w:tcMar>
              <w:left w:w="108" w:type="dxa"/>
              <w:right w:w="108" w:type="dxa"/>
            </w:tcMar>
            <w:vAlign w:val="center"/>
          </w:tcPr>
          <w:p w14:paraId="563641F4">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总计</w:t>
            </w:r>
          </w:p>
        </w:tc>
      </w:tr>
      <w:tr w14:paraId="7568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138A4805">
            <w:pPr>
              <w:jc w:val="center"/>
              <w:rPr>
                <w:rFonts w:ascii="仿宋_GB2312" w:eastAsia="仿宋_GB2312"/>
                <w:color w:val="000000" w:themeColor="text1"/>
                <w:szCs w:val="21"/>
                <w14:textFill>
                  <w14:solidFill>
                    <w14:schemeClr w14:val="tx1"/>
                  </w14:solidFill>
                </w14:textFill>
              </w:rPr>
            </w:pPr>
          </w:p>
        </w:tc>
        <w:tc>
          <w:tcPr>
            <w:tcW w:w="747" w:type="dxa"/>
            <w:vMerge w:val="continue"/>
            <w:shd w:val="clear" w:color="auto" w:fill="auto"/>
            <w:tcMar>
              <w:left w:w="108" w:type="dxa"/>
              <w:right w:w="108" w:type="dxa"/>
            </w:tcMar>
            <w:vAlign w:val="center"/>
          </w:tcPr>
          <w:p w14:paraId="75CA0EA4">
            <w:pPr>
              <w:jc w:val="center"/>
              <w:rPr>
                <w:rFonts w:ascii="黑体" w:hAnsi="黑体" w:eastAsia="黑体"/>
                <w:color w:val="000000" w:themeColor="text1"/>
                <w:szCs w:val="21"/>
                <w14:textFill>
                  <w14:solidFill>
                    <w14:schemeClr w14:val="tx1"/>
                  </w14:solidFill>
                </w14:textFill>
              </w:rPr>
            </w:pPr>
          </w:p>
        </w:tc>
        <w:tc>
          <w:tcPr>
            <w:tcW w:w="540" w:type="dxa"/>
            <w:shd w:val="clear" w:color="auto" w:fill="auto"/>
            <w:tcMar>
              <w:left w:w="108" w:type="dxa"/>
              <w:right w:w="108" w:type="dxa"/>
            </w:tcMar>
            <w:vAlign w:val="center"/>
          </w:tcPr>
          <w:p w14:paraId="426D161B">
            <w:pPr>
              <w:widowControl/>
              <w:spacing w:line="320" w:lineRule="exact"/>
              <w:ind w:left="-100" w:leftChars="-51" w:right="-101"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商业企业</w:t>
            </w:r>
          </w:p>
        </w:tc>
        <w:tc>
          <w:tcPr>
            <w:tcW w:w="540" w:type="dxa"/>
            <w:shd w:val="clear" w:color="auto" w:fill="auto"/>
            <w:tcMar>
              <w:left w:w="108" w:type="dxa"/>
              <w:right w:w="108" w:type="dxa"/>
            </w:tcMar>
            <w:vAlign w:val="center"/>
          </w:tcPr>
          <w:p w14:paraId="77DC436E">
            <w:pPr>
              <w:widowControl/>
              <w:spacing w:line="320" w:lineRule="exact"/>
              <w:ind w:left="-101" w:leftChars="-51" w:right="-101"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科研机构</w:t>
            </w:r>
          </w:p>
        </w:tc>
        <w:tc>
          <w:tcPr>
            <w:tcW w:w="720" w:type="dxa"/>
            <w:shd w:val="clear" w:color="auto" w:fill="auto"/>
            <w:tcMar>
              <w:left w:w="108" w:type="dxa"/>
              <w:right w:w="108" w:type="dxa"/>
            </w:tcMar>
            <w:vAlign w:val="center"/>
          </w:tcPr>
          <w:p w14:paraId="28DEEAEE">
            <w:pPr>
              <w:widowControl/>
              <w:spacing w:line="320" w:lineRule="exact"/>
              <w:ind w:left="-101" w:leftChars="-51" w:right="-101"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社会公益组织</w:t>
            </w:r>
          </w:p>
        </w:tc>
        <w:tc>
          <w:tcPr>
            <w:tcW w:w="675" w:type="dxa"/>
            <w:shd w:val="clear" w:color="auto" w:fill="auto"/>
            <w:tcMar>
              <w:left w:w="108" w:type="dxa"/>
              <w:right w:w="108" w:type="dxa"/>
            </w:tcMar>
            <w:vAlign w:val="center"/>
          </w:tcPr>
          <w:p w14:paraId="255A41E8">
            <w:pPr>
              <w:widowControl/>
              <w:spacing w:line="320" w:lineRule="exact"/>
              <w:ind w:left="-100" w:leftChars="-51" w:right="-101"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法律服务机构</w:t>
            </w:r>
          </w:p>
        </w:tc>
        <w:tc>
          <w:tcPr>
            <w:tcW w:w="525" w:type="dxa"/>
            <w:shd w:val="clear" w:color="auto" w:fill="auto"/>
            <w:tcMar>
              <w:left w:w="108" w:type="dxa"/>
              <w:right w:w="108" w:type="dxa"/>
            </w:tcMar>
            <w:vAlign w:val="center"/>
          </w:tcPr>
          <w:p w14:paraId="7A3A6752">
            <w:pPr>
              <w:widowControl/>
              <w:spacing w:line="360" w:lineRule="exact"/>
              <w:ind w:left="-59" w:leftChars="-30" w:right="-127" w:rightChars="-64"/>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其他</w:t>
            </w:r>
          </w:p>
        </w:tc>
        <w:tc>
          <w:tcPr>
            <w:tcW w:w="701" w:type="dxa"/>
            <w:vMerge w:val="continue"/>
            <w:shd w:val="clear" w:color="auto" w:fill="auto"/>
            <w:tcMar>
              <w:left w:w="108" w:type="dxa"/>
              <w:right w:w="108" w:type="dxa"/>
            </w:tcMar>
            <w:vAlign w:val="center"/>
          </w:tcPr>
          <w:p w14:paraId="0470457A">
            <w:pPr>
              <w:jc w:val="center"/>
              <w:rPr>
                <w:rFonts w:ascii="仿宋_GB2312" w:eastAsia="仿宋_GB2312"/>
                <w:color w:val="000000" w:themeColor="text1"/>
                <w:szCs w:val="21"/>
                <w14:textFill>
                  <w14:solidFill>
                    <w14:schemeClr w14:val="tx1"/>
                  </w14:solidFill>
                </w14:textFill>
              </w:rPr>
            </w:pPr>
          </w:p>
        </w:tc>
      </w:tr>
      <w:tr w14:paraId="13C37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33302E0">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0"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0"/>
          </w:p>
        </w:tc>
        <w:tc>
          <w:tcPr>
            <w:tcW w:w="747" w:type="dxa"/>
            <w:shd w:val="clear" w:color="auto" w:fill="auto"/>
            <w:tcMar>
              <w:left w:w="108" w:type="dxa"/>
              <w:right w:w="108" w:type="dxa"/>
            </w:tcMar>
            <w:vAlign w:val="center"/>
          </w:tcPr>
          <w:p w14:paraId="7E0380D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2FC440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EB7936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175B54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37B979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633A8B3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60F45D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9AE9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CC8F43C">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747" w:type="dxa"/>
            <w:shd w:val="clear" w:color="auto" w:fill="auto"/>
            <w:tcMar>
              <w:left w:w="108" w:type="dxa"/>
              <w:right w:w="108" w:type="dxa"/>
            </w:tcMar>
            <w:vAlign w:val="center"/>
          </w:tcPr>
          <w:p w14:paraId="5417C51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CCDF5A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A724B6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3C3048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D6EC3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2984CF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4128EF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C0E6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D0B99A9">
            <w:pPr>
              <w:widowControl/>
              <w:spacing w:after="18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14:paraId="451D8833">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（一）予以公开</w:t>
            </w:r>
          </w:p>
        </w:tc>
        <w:tc>
          <w:tcPr>
            <w:tcW w:w="752" w:type="dxa"/>
            <w:shd w:val="clear" w:color="auto" w:fill="auto"/>
            <w:tcMar>
              <w:left w:w="108" w:type="dxa"/>
              <w:right w:w="108" w:type="dxa"/>
            </w:tcMar>
            <w:vAlign w:val="center"/>
          </w:tcPr>
          <w:p w14:paraId="08E4936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5A1A5E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35" w:type="dxa"/>
            <w:shd w:val="clear" w:color="auto" w:fill="auto"/>
            <w:tcMar>
              <w:left w:w="108" w:type="dxa"/>
              <w:right w:w="108" w:type="dxa"/>
            </w:tcMar>
            <w:vAlign w:val="center"/>
          </w:tcPr>
          <w:p w14:paraId="0BC9C2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19C27CE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47BB54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32173A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0" w:type="dxa"/>
            <w:shd w:val="clear" w:color="auto" w:fill="auto"/>
            <w:tcMar>
              <w:left w:w="108" w:type="dxa"/>
              <w:right w:w="108" w:type="dxa"/>
            </w:tcMar>
            <w:vAlign w:val="center"/>
          </w:tcPr>
          <w:p w14:paraId="3A066E8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FBA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F500EA4">
            <w:pPr>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14:paraId="0B4B7D1C">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（二）部分公开（</w:t>
            </w:r>
            <w:bookmarkStart w:id="1" w:name="_Hlk66973981"/>
            <w:r>
              <w:rPr>
                <w:rFonts w:hint="eastAsia" w:ascii="黑体" w:hAnsi="黑体" w:eastAsia="黑体"/>
                <w:color w:val="000000" w:themeColor="text1"/>
                <w:kern w:val="0"/>
                <w:szCs w:val="21"/>
                <w14:textFill>
                  <w14:solidFill>
                    <w14:schemeClr w14:val="tx1"/>
                  </w14:solidFill>
                </w14:textFill>
              </w:rPr>
              <w:t>区分处理的，只计这一情形，不计其他情形</w:t>
            </w:r>
            <w:bookmarkEnd w:id="1"/>
            <w:r>
              <w:rPr>
                <w:rFonts w:hint="eastAsia" w:ascii="黑体" w:hAnsi="黑体" w:eastAsia="黑体"/>
                <w:color w:val="000000" w:themeColor="text1"/>
                <w:kern w:val="0"/>
                <w:szCs w:val="21"/>
                <w14:textFill>
                  <w14:solidFill>
                    <w14:schemeClr w14:val="tx1"/>
                  </w14:solidFill>
                </w14:textFill>
              </w:rPr>
              <w:t>）</w:t>
            </w:r>
          </w:p>
        </w:tc>
        <w:tc>
          <w:tcPr>
            <w:tcW w:w="752" w:type="dxa"/>
            <w:shd w:val="clear" w:color="auto" w:fill="auto"/>
            <w:tcMar>
              <w:left w:w="108" w:type="dxa"/>
              <w:right w:w="108" w:type="dxa"/>
            </w:tcMar>
            <w:vAlign w:val="center"/>
          </w:tcPr>
          <w:p w14:paraId="498CB33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293BE0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35" w:type="dxa"/>
            <w:shd w:val="clear" w:color="auto" w:fill="auto"/>
            <w:tcMar>
              <w:left w:w="108" w:type="dxa"/>
              <w:right w:w="108" w:type="dxa"/>
            </w:tcMar>
            <w:vAlign w:val="center"/>
          </w:tcPr>
          <w:p w14:paraId="03D7510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C31E16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766342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2AC6D10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0" w:type="dxa"/>
            <w:shd w:val="clear" w:color="auto" w:fill="auto"/>
            <w:tcMar>
              <w:left w:w="108" w:type="dxa"/>
              <w:right w:w="108" w:type="dxa"/>
            </w:tcMar>
            <w:vAlign w:val="center"/>
          </w:tcPr>
          <w:p w14:paraId="2CA4B01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0B19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F959914">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73FB48F8">
            <w:pPr>
              <w:widowControl/>
              <w:spacing w:line="200" w:lineRule="exact"/>
              <w:ind w:left="-101"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14:paraId="36663FA0">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1.属于国家秘密</w:t>
            </w:r>
          </w:p>
        </w:tc>
        <w:tc>
          <w:tcPr>
            <w:tcW w:w="747" w:type="dxa"/>
            <w:shd w:val="clear" w:color="auto" w:fill="auto"/>
            <w:tcMar>
              <w:left w:w="108" w:type="dxa"/>
              <w:right w:w="108" w:type="dxa"/>
            </w:tcMar>
            <w:vAlign w:val="center"/>
          </w:tcPr>
          <w:p w14:paraId="4B16FD1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84A978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9B931F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C9462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F89050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1A3CA2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01942C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F53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EA76BC">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CFC694B">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4AB60801">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2" w:name="_Hlk66974104"/>
            <w:r>
              <w:rPr>
                <w:rFonts w:hint="eastAsia" w:ascii="仿宋_GB2312" w:hAnsi="黑体" w:eastAsia="仿宋_GB2312"/>
                <w:color w:val="000000" w:themeColor="text1"/>
                <w:kern w:val="0"/>
                <w:szCs w:val="21"/>
                <w14:textFill>
                  <w14:solidFill>
                    <w14:schemeClr w14:val="tx1"/>
                  </w14:solidFill>
                </w14:textFill>
              </w:rPr>
              <w:t>其他法律行政法规禁止公开</w:t>
            </w:r>
            <w:bookmarkEnd w:id="2"/>
          </w:p>
        </w:tc>
        <w:tc>
          <w:tcPr>
            <w:tcW w:w="747" w:type="dxa"/>
            <w:shd w:val="clear" w:color="auto" w:fill="auto"/>
            <w:tcMar>
              <w:left w:w="108" w:type="dxa"/>
              <w:right w:w="108" w:type="dxa"/>
            </w:tcMar>
            <w:vAlign w:val="center"/>
          </w:tcPr>
          <w:p w14:paraId="515EDC5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F5E5C7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E79D43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7EB747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5FD0BC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141607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1F0D5A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185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C512313">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35E8E4BB">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1087E291">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3.危及“三安全一稳定”</w:t>
            </w:r>
          </w:p>
        </w:tc>
        <w:tc>
          <w:tcPr>
            <w:tcW w:w="747" w:type="dxa"/>
            <w:shd w:val="clear" w:color="auto" w:fill="auto"/>
            <w:tcMar>
              <w:left w:w="108" w:type="dxa"/>
              <w:right w:w="108" w:type="dxa"/>
            </w:tcMar>
            <w:vAlign w:val="center"/>
          </w:tcPr>
          <w:p w14:paraId="25BD099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CCD3F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CAC0B4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62A8FD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200610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089497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DBC42D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A65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C655E1E">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0A7C70AE">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19838D1A">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w:t>
            </w:r>
            <w:bookmarkStart w:id="3" w:name="_Hlk66974290"/>
            <w:r>
              <w:rPr>
                <w:rFonts w:hint="eastAsia" w:ascii="仿宋_GB2312" w:hAnsi="黑体" w:eastAsia="仿宋_GB2312"/>
                <w:color w:val="000000" w:themeColor="text1"/>
                <w:kern w:val="0"/>
                <w:szCs w:val="21"/>
                <w14:textFill>
                  <w14:solidFill>
                    <w14:schemeClr w14:val="tx1"/>
                  </w14:solidFill>
                </w14:textFill>
              </w:rPr>
              <w:t>保护第三方合法权益</w:t>
            </w:r>
            <w:bookmarkEnd w:id="3"/>
          </w:p>
        </w:tc>
        <w:tc>
          <w:tcPr>
            <w:tcW w:w="747" w:type="dxa"/>
            <w:shd w:val="clear" w:color="auto" w:fill="auto"/>
            <w:tcMar>
              <w:left w:w="108" w:type="dxa"/>
              <w:right w:w="108" w:type="dxa"/>
            </w:tcMar>
            <w:vAlign w:val="center"/>
          </w:tcPr>
          <w:p w14:paraId="62EFA37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7EFA6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BEDDEA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63CA2C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7D6FF9E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7B7239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8365E8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493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F11B2E8">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2E92121A">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52C3C094">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5.属于三类内部事务信息</w:t>
            </w:r>
          </w:p>
        </w:tc>
        <w:tc>
          <w:tcPr>
            <w:tcW w:w="747" w:type="dxa"/>
            <w:shd w:val="clear" w:color="auto" w:fill="auto"/>
            <w:tcMar>
              <w:left w:w="108" w:type="dxa"/>
              <w:right w:w="108" w:type="dxa"/>
            </w:tcMar>
            <w:vAlign w:val="center"/>
          </w:tcPr>
          <w:p w14:paraId="1EDD9A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BF8CFC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37A3D8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383086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98782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E952BC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39FC0AD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12803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BBA2A0">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06B97E8D">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2AE73368">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6.</w:t>
            </w:r>
            <w:bookmarkStart w:id="4" w:name="_Hlk66974555"/>
            <w:r>
              <w:rPr>
                <w:rFonts w:hint="eastAsia" w:ascii="仿宋_GB2312" w:hAnsi="黑体" w:eastAsia="仿宋_GB2312"/>
                <w:color w:val="000000" w:themeColor="text1"/>
                <w:kern w:val="0"/>
                <w:szCs w:val="21"/>
                <w14:textFill>
                  <w14:solidFill>
                    <w14:schemeClr w14:val="tx1"/>
                  </w14:solidFill>
                </w14:textFill>
              </w:rPr>
              <w:t>属于四类过程性信息</w:t>
            </w:r>
            <w:bookmarkEnd w:id="4"/>
          </w:p>
        </w:tc>
        <w:tc>
          <w:tcPr>
            <w:tcW w:w="747" w:type="dxa"/>
            <w:shd w:val="clear" w:color="auto" w:fill="auto"/>
            <w:tcMar>
              <w:left w:w="108" w:type="dxa"/>
              <w:right w:w="108" w:type="dxa"/>
            </w:tcMar>
            <w:vAlign w:val="center"/>
          </w:tcPr>
          <w:p w14:paraId="708DC71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0E7694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4FE959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F9ADCC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FE28BC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6341E7E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582C8F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CFF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24627E">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E25D430">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4F501163">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7.属于行政执法案卷</w:t>
            </w:r>
          </w:p>
        </w:tc>
        <w:tc>
          <w:tcPr>
            <w:tcW w:w="747" w:type="dxa"/>
            <w:shd w:val="clear" w:color="auto" w:fill="auto"/>
            <w:tcMar>
              <w:left w:w="108" w:type="dxa"/>
              <w:right w:w="108" w:type="dxa"/>
            </w:tcMar>
            <w:vAlign w:val="center"/>
          </w:tcPr>
          <w:p w14:paraId="5E8E7CE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5F76CE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C13B2F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C30862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7B5B7F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0C10D0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B6FF9B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04E3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F8E0EF">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5F9EE043">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292A580B">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8.</w:t>
            </w:r>
            <w:bookmarkStart w:id="5" w:name="_Hlk66975211"/>
            <w:r>
              <w:rPr>
                <w:rFonts w:hint="eastAsia" w:ascii="仿宋_GB2312" w:hAnsi="黑体" w:eastAsia="仿宋_GB2312"/>
                <w:color w:val="000000" w:themeColor="text1"/>
                <w:kern w:val="0"/>
                <w:szCs w:val="21"/>
                <w14:textFill>
                  <w14:solidFill>
                    <w14:schemeClr w14:val="tx1"/>
                  </w14:solidFill>
                </w14:textFill>
              </w:rPr>
              <w:t>属于行政查询事项</w:t>
            </w:r>
            <w:bookmarkEnd w:id="5"/>
          </w:p>
        </w:tc>
        <w:tc>
          <w:tcPr>
            <w:tcW w:w="747" w:type="dxa"/>
            <w:shd w:val="clear" w:color="auto" w:fill="auto"/>
            <w:tcMar>
              <w:left w:w="108" w:type="dxa"/>
              <w:right w:w="108" w:type="dxa"/>
            </w:tcMar>
            <w:vAlign w:val="center"/>
          </w:tcPr>
          <w:p w14:paraId="1B00453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72D667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DAE61E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6F575F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F773ED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4ECF18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D2F77F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23E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956242">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0F47F490">
            <w:pPr>
              <w:widowControl/>
              <w:spacing w:line="200" w:lineRule="exact"/>
              <w:ind w:left="-101"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14:paraId="2D0D0E83">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1.本机关不掌握相关政府信息</w:t>
            </w:r>
          </w:p>
        </w:tc>
        <w:tc>
          <w:tcPr>
            <w:tcW w:w="747" w:type="dxa"/>
            <w:shd w:val="clear" w:color="auto" w:fill="auto"/>
            <w:tcMar>
              <w:left w:w="108" w:type="dxa"/>
              <w:right w:w="108" w:type="dxa"/>
            </w:tcMar>
            <w:vAlign w:val="center"/>
          </w:tcPr>
          <w:p w14:paraId="579A72D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BC22BA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2EE7EF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F685F1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81F93C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40CA6B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0DF1DB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ADD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E5CBF">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6BB3A0A8">
            <w:pPr>
              <w:spacing w:line="200" w:lineRule="exact"/>
              <w:ind w:left="-101" w:leftChars="-51"/>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3191C697">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6" w:name="_Hlk66975392"/>
            <w:r>
              <w:rPr>
                <w:rFonts w:hint="eastAsia" w:ascii="仿宋_GB2312" w:hAnsi="黑体" w:eastAsia="仿宋_GB2312"/>
                <w:color w:val="000000" w:themeColor="text1"/>
                <w:kern w:val="0"/>
                <w:szCs w:val="21"/>
                <w14:textFill>
                  <w14:solidFill>
                    <w14:schemeClr w14:val="tx1"/>
                  </w14:solidFill>
                </w14:textFill>
              </w:rPr>
              <w:t>没有现成信息需要另行制作</w:t>
            </w:r>
            <w:bookmarkEnd w:id="6"/>
          </w:p>
        </w:tc>
        <w:tc>
          <w:tcPr>
            <w:tcW w:w="747" w:type="dxa"/>
            <w:shd w:val="clear" w:color="auto" w:fill="auto"/>
            <w:tcMar>
              <w:left w:w="108" w:type="dxa"/>
              <w:right w:w="108" w:type="dxa"/>
            </w:tcMar>
            <w:vAlign w:val="center"/>
          </w:tcPr>
          <w:p w14:paraId="6BBD3D9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99581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5557F9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71C723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75F797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5B699A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D2A19C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659B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1F441E">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70165DA">
            <w:pPr>
              <w:spacing w:line="200" w:lineRule="exact"/>
              <w:ind w:left="-101" w:leftChars="-51"/>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2B77E1B6">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w:t>
            </w:r>
            <w:bookmarkStart w:id="7" w:name="_Hlk66975466"/>
            <w:r>
              <w:rPr>
                <w:rFonts w:hint="eastAsia" w:ascii="仿宋_GB2312" w:hAnsi="黑体" w:eastAsia="仿宋_GB2312"/>
                <w:color w:val="000000" w:themeColor="text1"/>
                <w:kern w:val="0"/>
                <w:szCs w:val="21"/>
                <w14:textFill>
                  <w14:solidFill>
                    <w14:schemeClr w14:val="tx1"/>
                  </w14:solidFill>
                </w14:textFill>
              </w:rPr>
              <w:t>补正后申请内容仍不明确</w:t>
            </w:r>
            <w:bookmarkEnd w:id="7"/>
          </w:p>
        </w:tc>
        <w:tc>
          <w:tcPr>
            <w:tcW w:w="747" w:type="dxa"/>
            <w:shd w:val="clear" w:color="auto" w:fill="auto"/>
            <w:tcMar>
              <w:left w:w="108" w:type="dxa"/>
              <w:right w:w="108" w:type="dxa"/>
            </w:tcMar>
            <w:vAlign w:val="center"/>
          </w:tcPr>
          <w:p w14:paraId="0446EA4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756786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E77397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D8660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E43B8E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34A3827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431C43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66D6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7E3770">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3D4C128B">
            <w:pPr>
              <w:widowControl/>
              <w:spacing w:line="200" w:lineRule="exact"/>
              <w:ind w:left="-101"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14:paraId="738EF42A">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w:t>
            </w:r>
            <w:bookmarkStart w:id="8" w:name="_Hlk66975537"/>
            <w:r>
              <w:rPr>
                <w:rFonts w:hint="eastAsia" w:ascii="仿宋_GB2312" w:hAnsi="黑体" w:eastAsia="仿宋_GB2312"/>
                <w:color w:val="000000" w:themeColor="text1"/>
                <w:kern w:val="0"/>
                <w:szCs w:val="21"/>
                <w14:textFill>
                  <w14:solidFill>
                    <w14:schemeClr w14:val="tx1"/>
                  </w14:solidFill>
                </w14:textFill>
              </w:rPr>
              <w:t>信访举报投诉类申请</w:t>
            </w:r>
            <w:bookmarkEnd w:id="8"/>
          </w:p>
        </w:tc>
        <w:tc>
          <w:tcPr>
            <w:tcW w:w="747" w:type="dxa"/>
            <w:shd w:val="clear" w:color="auto" w:fill="auto"/>
            <w:tcMar>
              <w:left w:w="108" w:type="dxa"/>
              <w:right w:w="108" w:type="dxa"/>
            </w:tcMar>
            <w:vAlign w:val="center"/>
          </w:tcPr>
          <w:p w14:paraId="4857014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321C97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AC7341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D08C31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A54C80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4254BDA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99FA41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4C85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6A2B06">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043CAA85">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5BD8AD06">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2.重复申请</w:t>
            </w:r>
          </w:p>
        </w:tc>
        <w:tc>
          <w:tcPr>
            <w:tcW w:w="747" w:type="dxa"/>
            <w:shd w:val="clear" w:color="auto" w:fill="auto"/>
            <w:tcMar>
              <w:left w:w="108" w:type="dxa"/>
              <w:right w:w="108" w:type="dxa"/>
            </w:tcMar>
            <w:vAlign w:val="center"/>
          </w:tcPr>
          <w:p w14:paraId="3B5364D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E12155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69932A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A96AE27">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A967CA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0CCA6F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556F0E4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103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9C7FB9">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54B8E28">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29BD9A97">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3.要求提供公开出版物</w:t>
            </w:r>
          </w:p>
        </w:tc>
        <w:tc>
          <w:tcPr>
            <w:tcW w:w="747" w:type="dxa"/>
            <w:shd w:val="clear" w:color="auto" w:fill="auto"/>
            <w:tcMar>
              <w:left w:w="108" w:type="dxa"/>
              <w:right w:w="108" w:type="dxa"/>
            </w:tcMar>
            <w:vAlign w:val="center"/>
          </w:tcPr>
          <w:p w14:paraId="1595AA6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2BBA7C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ED5D2D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13383FE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77426F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6A3FB65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C0AB8E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C2F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F7D2969">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36A2C1E9">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5CAA27F1">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4.无正当理由大量反复申请</w:t>
            </w:r>
          </w:p>
        </w:tc>
        <w:tc>
          <w:tcPr>
            <w:tcW w:w="747" w:type="dxa"/>
            <w:shd w:val="clear" w:color="auto" w:fill="auto"/>
            <w:tcMar>
              <w:left w:w="108" w:type="dxa"/>
              <w:right w:w="108" w:type="dxa"/>
            </w:tcMar>
            <w:vAlign w:val="center"/>
          </w:tcPr>
          <w:p w14:paraId="3877B2C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ECC70A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F6A028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1F417B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BFD151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3A01B8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6C9B40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493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F1316BE">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4785326D">
            <w:pPr>
              <w:spacing w:line="200" w:lineRule="exact"/>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14:paraId="2EE4B5DD">
            <w:pPr>
              <w:widowControl/>
              <w:spacing w:line="3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5.要求行政机关确认或重新出具已获取信息</w:t>
            </w:r>
          </w:p>
        </w:tc>
        <w:tc>
          <w:tcPr>
            <w:tcW w:w="747" w:type="dxa"/>
            <w:shd w:val="clear" w:color="auto" w:fill="auto"/>
            <w:tcMar>
              <w:left w:w="108" w:type="dxa"/>
              <w:right w:w="108" w:type="dxa"/>
            </w:tcMar>
            <w:vAlign w:val="center"/>
          </w:tcPr>
          <w:p w14:paraId="12A742E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ACDBB9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C0FD6D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E08D52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E543D3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D76D0A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D8C636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8FE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A079B2E">
            <w:pPr>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14:paraId="534DC083">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（六）其他处理</w:t>
            </w:r>
          </w:p>
        </w:tc>
        <w:tc>
          <w:tcPr>
            <w:tcW w:w="2976" w:type="dxa"/>
            <w:shd w:val="clear" w:color="auto" w:fill="auto"/>
            <w:vAlign w:val="center"/>
          </w:tcPr>
          <w:p w14:paraId="7786BAE4">
            <w:pPr>
              <w:widowControl/>
              <w:spacing w:line="300" w:lineRule="exact"/>
              <w:rPr>
                <w:rFonts w:ascii="仿宋_GB2312" w:hAnsi="楷体" w:eastAsia="仿宋_GB2312"/>
                <w:color w:val="000000" w:themeColor="text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1.申请人无正当理由逾期不补正、行政机关不再处理其政府信息公开申请</w:t>
            </w:r>
          </w:p>
        </w:tc>
        <w:tc>
          <w:tcPr>
            <w:tcW w:w="747" w:type="dxa"/>
            <w:shd w:val="clear" w:color="auto" w:fill="auto"/>
            <w:tcMar>
              <w:left w:w="108" w:type="dxa"/>
              <w:right w:w="108" w:type="dxa"/>
            </w:tcMar>
            <w:vAlign w:val="center"/>
          </w:tcPr>
          <w:p w14:paraId="4CFD918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05434661">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BC7A1C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1CD7EE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E6C93F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76AF782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64467AEC">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503E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67BB66B">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227109B0">
            <w:pPr>
              <w:widowControl/>
              <w:spacing w:line="300" w:lineRule="exact"/>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14:paraId="6E424221">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25B594C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8CEEE8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EA2559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216DB3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99C793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F4B4144">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F6DB810">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6348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20552B7">
            <w:pPr>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14:paraId="6B0DEA0D">
            <w:pPr>
              <w:widowControl/>
              <w:spacing w:line="300" w:lineRule="exact"/>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14:paraId="17ECD16F">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3.其他</w:t>
            </w:r>
          </w:p>
        </w:tc>
        <w:tc>
          <w:tcPr>
            <w:tcW w:w="747" w:type="dxa"/>
            <w:shd w:val="clear" w:color="auto" w:fill="auto"/>
            <w:tcMar>
              <w:left w:w="108" w:type="dxa"/>
              <w:right w:w="108" w:type="dxa"/>
            </w:tcMar>
            <w:vAlign w:val="center"/>
          </w:tcPr>
          <w:p w14:paraId="269D003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9881E26">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6D3834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EA06D0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52D125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15BB7FAA">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18F13C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D36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9B3B3E8">
            <w:pPr>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14:paraId="41868356">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（七）总计</w:t>
            </w:r>
          </w:p>
        </w:tc>
        <w:tc>
          <w:tcPr>
            <w:tcW w:w="747" w:type="dxa"/>
            <w:shd w:val="clear" w:color="auto" w:fill="auto"/>
            <w:tcMar>
              <w:left w:w="108" w:type="dxa"/>
              <w:right w:w="108" w:type="dxa"/>
            </w:tcMar>
            <w:vAlign w:val="center"/>
          </w:tcPr>
          <w:p w14:paraId="67AFBEDD">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6E1C8E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F27A9D3">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4D91D25">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009C34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4F5AD162">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12992A8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940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D58F741">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747" w:type="dxa"/>
            <w:shd w:val="clear" w:color="auto" w:fill="auto"/>
            <w:tcMar>
              <w:left w:w="108" w:type="dxa"/>
              <w:right w:w="108" w:type="dxa"/>
            </w:tcMar>
            <w:vAlign w:val="center"/>
          </w:tcPr>
          <w:p w14:paraId="2C3BE129">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A0B69A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F19E1BB">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7524E6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7444D998">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5" w:type="dxa"/>
            <w:shd w:val="clear" w:color="auto" w:fill="auto"/>
            <w:tcMar>
              <w:left w:w="108" w:type="dxa"/>
              <w:right w:w="108" w:type="dxa"/>
            </w:tcMar>
            <w:vAlign w:val="center"/>
          </w:tcPr>
          <w:p w14:paraId="5922043F">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77CABFE">
            <w:pPr>
              <w:widowControl/>
              <w:spacing w:line="24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bl>
    <w:p w14:paraId="55BE1122">
      <w:pPr>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shd w:val="clear" w:color="auto" w:fill="FFFFFF"/>
          <w:lang w:bidi="ar"/>
          <w14:textFill>
            <w14:solidFill>
              <w14:schemeClr w14:val="tx1"/>
            </w14:solidFill>
          </w14:textFill>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765"/>
        <w:gridCol w:w="443"/>
        <w:gridCol w:w="605"/>
        <w:gridCol w:w="605"/>
        <w:gridCol w:w="605"/>
        <w:gridCol w:w="605"/>
        <w:gridCol w:w="605"/>
        <w:gridCol w:w="605"/>
        <w:gridCol w:w="605"/>
        <w:gridCol w:w="606"/>
        <w:gridCol w:w="606"/>
      </w:tblGrid>
      <w:tr w14:paraId="24E1B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1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D8B9C5">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行政复议</w:t>
            </w:r>
          </w:p>
        </w:tc>
        <w:tc>
          <w:tcPr>
            <w:tcW w:w="589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ADE7A">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行政诉讼</w:t>
            </w:r>
          </w:p>
        </w:tc>
      </w:tr>
      <w:tr w14:paraId="3B29B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A1530">
            <w:pPr>
              <w:widowControl/>
              <w:ind w:left="-141" w:leftChars="-71" w:right="-161" w:rightChars="-81"/>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w:t>
            </w:r>
          </w:p>
          <w:p w14:paraId="30A60405">
            <w:pPr>
              <w:widowControl/>
              <w:ind w:left="-141" w:leftChars="-71" w:right="-161" w:rightChars="-8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8DE33B">
            <w:pPr>
              <w:widowControl/>
              <w:ind w:left="-40" w:leftChars="-21" w:right="-125" w:rightChars="-63"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F4F597">
            <w:pPr>
              <w:widowControl/>
              <w:ind w:left="-77" w:leftChars="-39" w:right="-91" w:rightChars="-4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A1BA14">
            <w:pPr>
              <w:widowControl/>
              <w:ind w:left="-111" w:leftChars="-56" w:right="-111" w:rightChars="-56"/>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尚未</w:t>
            </w:r>
          </w:p>
          <w:p w14:paraId="72B1D870">
            <w:pPr>
              <w:widowControl/>
              <w:ind w:left="-111" w:leftChars="-56" w:right="-111" w:rightChars="-5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审结</w:t>
            </w:r>
          </w:p>
        </w:tc>
        <w:tc>
          <w:tcPr>
            <w:tcW w:w="76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4EAB9A">
            <w:pPr>
              <w:widowControl/>
              <w:spacing w:line="320" w:lineRule="exact"/>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总</w:t>
            </w:r>
          </w:p>
          <w:p w14:paraId="1ACF9C7C">
            <w:pPr>
              <w:widowControl/>
              <w:spacing w:line="32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计</w:t>
            </w:r>
          </w:p>
        </w:tc>
        <w:tc>
          <w:tcPr>
            <w:tcW w:w="286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D5D5E8">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3A36">
            <w:pPr>
              <w:widowControl/>
              <w:jc w:val="center"/>
              <w:rPr>
                <w:rFonts w:ascii="黑体" w:hAnsi="黑体" w:eastAsia="黑体"/>
                <w:color w:val="000000" w:themeColor="text1"/>
                <w14:textFill>
                  <w14:solidFill>
                    <w14:schemeClr w14:val="tx1"/>
                  </w14:solidFill>
                </w14:textFill>
              </w:rPr>
            </w:pPr>
            <w:bookmarkStart w:id="9" w:name="_Hlk67039688"/>
            <w:r>
              <w:rPr>
                <w:rFonts w:ascii="黑体" w:hAnsi="黑体" w:eastAsia="黑体"/>
                <w:color w:val="000000" w:themeColor="text1"/>
                <w:kern w:val="0"/>
                <w:sz w:val="20"/>
                <w14:textFill>
                  <w14:solidFill>
                    <w14:schemeClr w14:val="tx1"/>
                  </w14:solidFill>
                </w14:textFill>
              </w:rPr>
              <w:t>复议后起诉</w:t>
            </w:r>
            <w:bookmarkEnd w:id="9"/>
          </w:p>
        </w:tc>
      </w:tr>
      <w:tr w14:paraId="51F0C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ADF98">
            <w:pPr>
              <w:rPr>
                <w:rFonts w:ascii="黑体" w:hAnsi="黑体" w:eastAsia="黑体"/>
                <w:color w:val="000000" w:themeColor="text1"/>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5E9249">
            <w:pPr>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ECD120">
            <w:pPr>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1844DF">
            <w:pPr>
              <w:rPr>
                <w:rFonts w:ascii="黑体" w:hAnsi="黑体" w:eastAsia="黑体"/>
                <w:color w:val="000000" w:themeColor="text1"/>
                <w:sz w:val="24"/>
                <w14:textFill>
                  <w14:solidFill>
                    <w14:schemeClr w14:val="tx1"/>
                  </w14:solidFill>
                </w14:textFill>
              </w:rPr>
            </w:pPr>
          </w:p>
        </w:tc>
        <w:tc>
          <w:tcPr>
            <w:tcW w:w="7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A09DD">
            <w:pPr>
              <w:rPr>
                <w:rFonts w:ascii="黑体" w:hAnsi="黑体" w:eastAsia="黑体"/>
                <w:color w:val="000000" w:themeColor="text1"/>
                <w:sz w:val="24"/>
                <w14:textFill>
                  <w14:solidFill>
                    <w14:schemeClr w14:val="tx1"/>
                  </w14:solidFill>
                </w14:textFill>
              </w:rPr>
            </w:pPr>
          </w:p>
        </w:tc>
        <w:tc>
          <w:tcPr>
            <w:tcW w:w="443" w:type="dxa"/>
            <w:tcBorders>
              <w:top w:val="nil"/>
              <w:left w:val="nil"/>
              <w:bottom w:val="single" w:color="auto" w:sz="8" w:space="0"/>
              <w:right w:val="single" w:color="auto" w:sz="8" w:space="0"/>
            </w:tcBorders>
            <w:shd w:val="clear" w:color="auto" w:fill="auto"/>
            <w:tcMar>
              <w:left w:w="108" w:type="dxa"/>
              <w:right w:w="108" w:type="dxa"/>
            </w:tcMar>
            <w:vAlign w:val="center"/>
          </w:tcPr>
          <w:p w14:paraId="636A47A9">
            <w:pPr>
              <w:widowControl/>
              <w:ind w:left="-99" w:leftChars="-50" w:right="-119" w:rightChars="-6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B553834">
            <w:pPr>
              <w:widowControl/>
              <w:ind w:left="-81" w:leftChars="-41" w:right="-83" w:rightChars="-42"/>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5C981">
            <w:pPr>
              <w:widowControl/>
              <w:ind w:left="-119" w:leftChars="-60" w:right="-129" w:rightChars="-65"/>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其他</w:t>
            </w:r>
          </w:p>
          <w:p w14:paraId="076E4088">
            <w:pPr>
              <w:widowControl/>
              <w:ind w:left="-119" w:leftChars="-60" w:right="-129" w:rightChars="-65"/>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09C2C">
            <w:pPr>
              <w:widowControl/>
              <w:ind w:left="-155" w:leftChars="-78" w:right="-145" w:rightChars="-73"/>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尚未</w:t>
            </w:r>
          </w:p>
          <w:p w14:paraId="24DBF162">
            <w:pPr>
              <w:widowControl/>
              <w:ind w:left="-155" w:leftChars="-78" w:right="-145" w:rightChars="-73"/>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E21049">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ED1152">
            <w:pPr>
              <w:widowControl/>
              <w:ind w:left="-93" w:leftChars="-47" w:right="-73" w:rightChars="-37"/>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869B2">
            <w:pPr>
              <w:widowControl/>
              <w:ind w:left="-129" w:leftChars="-65" w:right="-117" w:rightChars="-59"/>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w:t>
            </w:r>
          </w:p>
          <w:p w14:paraId="6D1FBE5B">
            <w:pPr>
              <w:widowControl/>
              <w:ind w:left="-129" w:leftChars="-65" w:right="-117" w:rightChars="-59"/>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FCAFE1">
            <w:pPr>
              <w:widowControl/>
              <w:ind w:left="-164" w:leftChars="-83" w:right="-127" w:rightChars="-64" w:hanging="1"/>
              <w:jc w:val="center"/>
              <w:rPr>
                <w:rFonts w:ascii="黑体" w:hAnsi="黑体" w:eastAsia="黑体"/>
                <w:color w:val="000000" w:themeColor="text1"/>
                <w:kern w:val="0"/>
                <w:sz w:val="20"/>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其他</w:t>
            </w:r>
          </w:p>
          <w:p w14:paraId="4A2C3506">
            <w:pPr>
              <w:widowControl/>
              <w:ind w:left="-164" w:leftChars="-83" w:right="-127" w:rightChars="-64"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0A433">
            <w:pPr>
              <w:widowControl/>
              <w:ind w:left="-63" w:leftChars="-33" w:right="-99" w:rightChars="-50" w:hanging="2" w:hangingChars="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3EC68">
            <w:pPr>
              <w:widowControl/>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14:textFill>
                  <w14:solidFill>
                    <w14:schemeClr w14:val="tx1"/>
                  </w14:solidFill>
                </w14:textFill>
              </w:rPr>
              <w:t>总计</w:t>
            </w:r>
          </w:p>
        </w:tc>
      </w:tr>
      <w:tr w14:paraId="0397D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A80642">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A68329">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B0FA9">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E2A319D">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14:paraId="679E3728">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43" w:type="dxa"/>
            <w:tcBorders>
              <w:top w:val="nil"/>
              <w:left w:val="nil"/>
              <w:bottom w:val="single" w:color="auto" w:sz="8" w:space="0"/>
              <w:right w:val="single" w:color="auto" w:sz="8" w:space="0"/>
            </w:tcBorders>
            <w:shd w:val="clear" w:color="auto" w:fill="auto"/>
            <w:tcMar>
              <w:left w:w="108" w:type="dxa"/>
              <w:right w:w="108" w:type="dxa"/>
            </w:tcMar>
            <w:vAlign w:val="center"/>
          </w:tcPr>
          <w:p w14:paraId="3F9C54E8">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3B27DE">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B18404">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FBBF89">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C78560">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3E13CA">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E68DBDF">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D0D547">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6C47245">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E8BE960">
            <w:pPr>
              <w:widowControl/>
              <w:spacing w:after="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bl>
    <w:p w14:paraId="0D641DF6">
      <w:pPr>
        <w:pStyle w:val="8"/>
        <w:shd w:val="clear" w:color="auto" w:fill="FFFFFF"/>
        <w:spacing w:before="0" w:beforeAutospacing="0" w:after="0" w:afterAutospacing="0" w:line="560" w:lineRule="exact"/>
        <w:ind w:firstLine="618" w:firstLineChars="200"/>
        <w:jc w:val="both"/>
        <w:rPr>
          <w:rFonts w:ascii="黑体" w:hAnsi="黑体" w:eastAsia="黑体" w:cs="黑体"/>
          <w:bCs/>
          <w:color w:val="000000" w:themeColor="text1"/>
          <w:sz w:val="32"/>
          <w:szCs w:val="32"/>
          <w:shd w:val="clear" w:color="auto" w:fill="FFFFFF"/>
          <w:lang w:bidi="ar"/>
          <w14:textFill>
            <w14:solidFill>
              <w14:schemeClr w14:val="tx1"/>
            </w14:solidFill>
          </w14:textFill>
        </w:rPr>
      </w:pPr>
      <w:r>
        <w:rPr>
          <w:rFonts w:hint="eastAsia" w:ascii="黑体" w:hAnsi="黑体" w:eastAsia="黑体" w:cs="黑体"/>
          <w:bCs/>
          <w:color w:val="000000" w:themeColor="text1"/>
          <w:sz w:val="32"/>
          <w:szCs w:val="32"/>
          <w:shd w:val="clear" w:color="auto" w:fill="FFFFFF"/>
          <w:lang w:bidi="ar"/>
          <w14:textFill>
            <w14:solidFill>
              <w14:schemeClr w14:val="tx1"/>
            </w14:solidFill>
          </w14:textFill>
        </w:rPr>
        <w:t>五、存在的主要问题及改进情况</w:t>
      </w:r>
    </w:p>
    <w:p w14:paraId="310AD5FD">
      <w:pPr>
        <w:pStyle w:val="8"/>
        <w:shd w:val="clear" w:color="auto" w:fill="FFFFFF"/>
        <w:spacing w:before="0" w:beforeAutospacing="0" w:after="0" w:afterAutospacing="0" w:line="560" w:lineRule="exact"/>
        <w:ind w:firstLine="618" w:firstLineChars="200"/>
        <w:jc w:val="both"/>
        <w:rPr>
          <w:rFonts w:ascii="仿宋_GB2312" w:hAnsi="仿宋_GB2312" w:eastAsia="仿宋_GB2312" w:cs="仿宋_GB2312"/>
          <w:b/>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2024年，区科学技术局政务公开工作取得新进展新成效，但问题和不足依然存在，主要为：一是部分栏目信息发布更新不够及时。二是政务公开工作力量较为薄弱</w:t>
      </w:r>
      <w:r>
        <w:rPr>
          <w:rFonts w:hint="eastAsia" w:ascii="仿宋_GB2312" w:hAnsi="仿宋_GB2312" w:eastAsia="仿宋_GB2312" w:cs="仿宋_GB2312"/>
          <w:b/>
          <w:color w:val="000000" w:themeColor="text1"/>
          <w:kern w:val="2"/>
          <w:sz w:val="32"/>
          <w:szCs w:val="32"/>
          <w14:textFill>
            <w14:solidFill>
              <w14:schemeClr w14:val="tx1"/>
            </w14:solidFill>
          </w14:textFill>
        </w:rPr>
        <w:t>。</w:t>
      </w:r>
    </w:p>
    <w:p w14:paraId="3FF84AE7">
      <w:pPr>
        <w:pStyle w:val="8"/>
        <w:shd w:val="clear" w:color="auto" w:fill="FFFFFF"/>
        <w:spacing w:before="0" w:beforeAutospacing="0" w:after="0" w:afterAutospacing="0" w:line="560" w:lineRule="exact"/>
        <w:ind w:firstLine="618"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下一步改进措施：一是及时做好动态更新工作，提升信息发布的时效性。二是加强人员管理和业务培训，提升政务公开工作人员的综合素质。</w:t>
      </w:r>
    </w:p>
    <w:p w14:paraId="49F097C6">
      <w:pPr>
        <w:pStyle w:val="8"/>
        <w:shd w:val="clear" w:color="auto" w:fill="FFFFFF"/>
        <w:spacing w:before="0" w:beforeAutospacing="0" w:after="0" w:afterAutospacing="0" w:line="560" w:lineRule="exact"/>
        <w:ind w:firstLine="618" w:firstLineChars="200"/>
        <w:jc w:val="both"/>
        <w:rPr>
          <w:rFonts w:ascii="黑体" w:hAnsi="黑体" w:eastAsia="黑体" w:cs="黑体"/>
          <w:bCs/>
          <w:color w:val="000000" w:themeColor="text1"/>
          <w:sz w:val="32"/>
          <w:szCs w:val="32"/>
          <w:shd w:val="clear" w:color="auto" w:fill="FFFFFF"/>
          <w:lang w:bidi="ar"/>
          <w14:textFill>
            <w14:solidFill>
              <w14:schemeClr w14:val="tx1"/>
            </w14:solidFill>
          </w14:textFill>
        </w:rPr>
      </w:pPr>
      <w:r>
        <w:rPr>
          <w:rFonts w:hint="eastAsia" w:ascii="黑体" w:hAnsi="黑体" w:eastAsia="黑体" w:cs="黑体"/>
          <w:bCs/>
          <w:color w:val="000000" w:themeColor="text1"/>
          <w:sz w:val="32"/>
          <w:szCs w:val="32"/>
          <w:shd w:val="clear" w:color="auto" w:fill="FFFFFF"/>
          <w:lang w:bidi="ar"/>
          <w14:textFill>
            <w14:solidFill>
              <w14:schemeClr w14:val="tx1"/>
            </w14:solidFill>
          </w14:textFill>
        </w:rPr>
        <w:t>六、其他需要报告的事项</w:t>
      </w:r>
    </w:p>
    <w:p w14:paraId="6E6189D7">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（一）收取信息处理费情况</w:t>
      </w:r>
    </w:p>
    <w:p w14:paraId="432D20E4">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依据《政府信息公开信息处理费管理办法》，区科学技术局全年未收取信息公开处理费</w:t>
      </w:r>
      <w:r>
        <w:rPr>
          <w:rFonts w:ascii="仿宋_GB2312" w:hAnsi="仿宋_GB2312" w:eastAsia="仿宋_GB2312" w:cs="仿宋_GB2312"/>
          <w:color w:val="000000" w:themeColor="text1"/>
          <w:sz w:val="32"/>
          <w:szCs w:val="32"/>
          <w14:textFill>
            <w14:solidFill>
              <w14:schemeClr w14:val="tx1"/>
            </w14:solidFill>
          </w14:textFill>
        </w:rPr>
        <w:t>。</w:t>
      </w:r>
    </w:p>
    <w:p w14:paraId="05D6F546">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（二）落实上级年度政务公开工作要点情况</w:t>
      </w:r>
    </w:p>
    <w:p w14:paraId="228C28B1">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科学技术局严格按照《台儿庄区人民政府办公室关于印发&lt;2024年台儿庄区政务公开工作要点实施方案&gt;的通知》要求，结合工作实际，对2024年政务公开重点工作任务进行分工，科学制定工作要点，有序推进政务公开工作</w:t>
      </w:r>
      <w:r>
        <w:rPr>
          <w:rFonts w:ascii="仿宋_GB2312" w:hAnsi="仿宋_GB2312" w:eastAsia="仿宋_GB2312" w:cs="仿宋_GB2312"/>
          <w:color w:val="000000" w:themeColor="text1"/>
          <w:sz w:val="32"/>
          <w:szCs w:val="32"/>
          <w14:textFill>
            <w14:solidFill>
              <w14:schemeClr w14:val="tx1"/>
            </w14:solidFill>
          </w14:textFill>
        </w:rPr>
        <w:t>。</w:t>
      </w:r>
    </w:p>
    <w:p w14:paraId="7674EC57">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（三）人大代表建议和政协提案办理结果公开情况</w:t>
      </w:r>
    </w:p>
    <w:p w14:paraId="253E7521">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2024年，我局承担交办政协提案共2件，主办2件，协办0件，均在规定的答复时限内答复完毕，并在区政府网站建议提案办理专栏进行公开。</w:t>
      </w:r>
    </w:p>
    <w:p w14:paraId="68202A49">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（四）政务公开工作创新情况</w:t>
      </w:r>
    </w:p>
    <w:p w14:paraId="27A0498E">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4B32817C">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（五）本行政机关政府信息公开工作年度报告数据统计需要说明的事项</w:t>
      </w:r>
    </w:p>
    <w:p w14:paraId="3430C55C">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报告中所列数据的统计期限自202</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年1月1日起至202</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年12月31日止。</w:t>
      </w:r>
    </w:p>
    <w:p w14:paraId="5E0547C5">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（六）本行政机关认为需要报告的其他事项</w:t>
      </w:r>
    </w:p>
    <w:p w14:paraId="44C37442">
      <w:pPr>
        <w:spacing w:line="560" w:lineRule="exact"/>
        <w:ind w:firstLine="61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29EB843A">
      <w:pPr>
        <w:spacing w:line="560" w:lineRule="exact"/>
        <w:ind w:firstLine="618" w:firstLineChars="200"/>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（七）其他有关文件专门要求通过政府信息公开工作年度报告予以报告的事项</w:t>
      </w:r>
    </w:p>
    <w:p w14:paraId="3F3F3121">
      <w:pPr>
        <w:spacing w:line="560" w:lineRule="exact"/>
        <w:ind w:firstLine="618"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2DBF3A14">
      <w:pPr>
        <w:spacing w:line="560" w:lineRule="exact"/>
        <w:ind w:firstLine="618" w:firstLineChars="200"/>
        <w:rPr>
          <w:rFonts w:ascii="仿宋_GB2312" w:hAnsi="仿宋_GB2312" w:eastAsia="仿宋_GB2312" w:cs="仿宋_GB2312"/>
          <w:sz w:val="32"/>
          <w:szCs w:val="32"/>
        </w:rPr>
      </w:pPr>
    </w:p>
    <w:p w14:paraId="6A59EA72">
      <w:pPr>
        <w:spacing w:line="560" w:lineRule="exact"/>
        <w:ind w:firstLine="618" w:firstLineChars="200"/>
        <w:rPr>
          <w:rFonts w:ascii="仿宋_GB2312" w:hAnsi="仿宋_GB2312" w:eastAsia="仿宋_GB2312" w:cs="仿宋_GB2312"/>
          <w:sz w:val="32"/>
          <w:szCs w:val="32"/>
        </w:rPr>
      </w:pPr>
    </w:p>
    <w:p w14:paraId="3969D82F">
      <w:pPr>
        <w:spacing w:line="560" w:lineRule="exact"/>
        <w:ind w:firstLine="618" w:firstLineChars="200"/>
        <w:rPr>
          <w:rFonts w:ascii="仿宋_GB2312" w:hAnsi="仿宋_GB2312" w:eastAsia="仿宋_GB2312" w:cs="仿宋_GB2312"/>
          <w:sz w:val="32"/>
          <w:szCs w:val="32"/>
        </w:rPr>
      </w:pPr>
    </w:p>
    <w:p w14:paraId="7A9ABD18">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台儿庄区科学技术局</w:t>
      </w:r>
    </w:p>
    <w:p w14:paraId="490B843F">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2025年1月8日</w:t>
      </w:r>
    </w:p>
    <w:p w14:paraId="0BEDE90F">
      <w:pPr>
        <w:ind w:firstLine="458" w:firstLineChars="200"/>
        <w:rPr>
          <w:rFonts w:ascii="宋体" w:hAnsi="宋体" w:cs="宋体"/>
          <w:color w:val="000000" w:themeColor="text1"/>
          <w:sz w:val="24"/>
          <w:szCs w:val="24"/>
          <w:shd w:val="clear" w:color="auto" w:fill="FFFFFF"/>
          <w14:textFill>
            <w14:solidFill>
              <w14:schemeClr w14:val="tx1"/>
            </w14:solidFill>
          </w14:textFill>
        </w:rPr>
      </w:pPr>
    </w:p>
    <w:p w14:paraId="77D8E9CF">
      <w:pPr>
        <w:spacing w:line="600" w:lineRule="exact"/>
        <w:ind w:firstLine="618" w:firstLineChars="200"/>
        <w:rPr>
          <w:rFonts w:ascii="仿宋_GB2312" w:hAnsi="仿宋_GB2312" w:eastAsia="仿宋_GB2312" w:cs="Calibri"/>
          <w:color w:val="000000" w:themeColor="text1"/>
          <w:sz w:val="32"/>
          <w:szCs w:val="32"/>
          <w:shd w:val="clear" w:color="auto" w:fill="FFFFFF"/>
          <w14:textFill>
            <w14:solidFill>
              <w14:schemeClr w14:val="tx1"/>
            </w14:solidFill>
          </w14:textFill>
        </w:rPr>
      </w:pP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1BD6">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５</w:t>
    </w:r>
    <w:r>
      <w:rPr>
        <w:rStyle w:val="14"/>
        <w:rFonts w:ascii="宋体" w:hAnsi="宋体"/>
        <w:sz w:val="28"/>
        <w:szCs w:val="28"/>
      </w:rPr>
      <w:fldChar w:fldCharType="end"/>
    </w:r>
    <w:r>
      <w:rPr>
        <w:rStyle w:val="14"/>
        <w:rFonts w:hint="eastAsia" w:ascii="宋体" w:hAnsi="宋体"/>
        <w:sz w:val="28"/>
        <w:szCs w:val="28"/>
      </w:rPr>
      <w:t>—</w:t>
    </w:r>
  </w:p>
  <w:p w14:paraId="3F2D9BB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36BC">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６</w:t>
    </w:r>
    <w:r>
      <w:rPr>
        <w:rStyle w:val="14"/>
        <w:rFonts w:ascii="宋体" w:hAnsi="宋体"/>
        <w:sz w:val="28"/>
        <w:szCs w:val="28"/>
      </w:rPr>
      <w:fldChar w:fldCharType="end"/>
    </w:r>
    <w:r>
      <w:rPr>
        <w:rStyle w:val="14"/>
        <w:rFonts w:hint="eastAsia" w:ascii="宋体" w:hAnsi="宋体"/>
        <w:sz w:val="28"/>
        <w:szCs w:val="28"/>
      </w:rPr>
      <w:t>—</w:t>
    </w:r>
  </w:p>
  <w:p w14:paraId="0737F09A">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9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Tc0MGM4NGI0M2ZjOTViYzU3MmU4ZWFkOWQzOGYifQ=="/>
  </w:docVars>
  <w:rsids>
    <w:rsidRoot w:val="34EC3754"/>
    <w:rsid w:val="00007884"/>
    <w:rsid w:val="00010E5E"/>
    <w:rsid w:val="00011885"/>
    <w:rsid w:val="00012AD2"/>
    <w:rsid w:val="000149C9"/>
    <w:rsid w:val="0003383F"/>
    <w:rsid w:val="00055660"/>
    <w:rsid w:val="00064D97"/>
    <w:rsid w:val="00070B65"/>
    <w:rsid w:val="00072FAA"/>
    <w:rsid w:val="00085421"/>
    <w:rsid w:val="00086B07"/>
    <w:rsid w:val="000B400B"/>
    <w:rsid w:val="000B7DBF"/>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359A"/>
    <w:rsid w:val="002C1314"/>
    <w:rsid w:val="002D2EAC"/>
    <w:rsid w:val="003037BF"/>
    <w:rsid w:val="003134A7"/>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47FF1"/>
    <w:rsid w:val="00B5161F"/>
    <w:rsid w:val="00B535BD"/>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399B"/>
    <w:rsid w:val="00C738DE"/>
    <w:rsid w:val="00C9447B"/>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1A73D87"/>
    <w:rsid w:val="06D716CC"/>
    <w:rsid w:val="080D4B60"/>
    <w:rsid w:val="085C148C"/>
    <w:rsid w:val="08744BDF"/>
    <w:rsid w:val="08EC0C19"/>
    <w:rsid w:val="09AF4121"/>
    <w:rsid w:val="0FED59A3"/>
    <w:rsid w:val="112A22DF"/>
    <w:rsid w:val="1213355C"/>
    <w:rsid w:val="144C07BE"/>
    <w:rsid w:val="147E4E1C"/>
    <w:rsid w:val="154A73F4"/>
    <w:rsid w:val="15512530"/>
    <w:rsid w:val="156E6AFD"/>
    <w:rsid w:val="169F72CB"/>
    <w:rsid w:val="16CD3E38"/>
    <w:rsid w:val="173B5246"/>
    <w:rsid w:val="1816180F"/>
    <w:rsid w:val="1ADD5D48"/>
    <w:rsid w:val="1D2815CA"/>
    <w:rsid w:val="1F705CA9"/>
    <w:rsid w:val="20951959"/>
    <w:rsid w:val="20CE0ED9"/>
    <w:rsid w:val="22DE784D"/>
    <w:rsid w:val="24FE5B05"/>
    <w:rsid w:val="254479BB"/>
    <w:rsid w:val="258C3110"/>
    <w:rsid w:val="268D0EEE"/>
    <w:rsid w:val="269F0C21"/>
    <w:rsid w:val="2A2B114A"/>
    <w:rsid w:val="2AFE5387"/>
    <w:rsid w:val="2B300A31"/>
    <w:rsid w:val="2B3E4EAD"/>
    <w:rsid w:val="2B8A00F2"/>
    <w:rsid w:val="3369683F"/>
    <w:rsid w:val="34EC3754"/>
    <w:rsid w:val="35262C3A"/>
    <w:rsid w:val="359D0A22"/>
    <w:rsid w:val="36121410"/>
    <w:rsid w:val="387243E8"/>
    <w:rsid w:val="3B5E96CB"/>
    <w:rsid w:val="3C77021F"/>
    <w:rsid w:val="3FE78241"/>
    <w:rsid w:val="406867FC"/>
    <w:rsid w:val="42AE4D77"/>
    <w:rsid w:val="42C6780A"/>
    <w:rsid w:val="439B47F3"/>
    <w:rsid w:val="46A77952"/>
    <w:rsid w:val="46DA1AD6"/>
    <w:rsid w:val="47F00E85"/>
    <w:rsid w:val="48F055E1"/>
    <w:rsid w:val="4A2B43F6"/>
    <w:rsid w:val="505F4DFA"/>
    <w:rsid w:val="52854FEC"/>
    <w:rsid w:val="53B611D5"/>
    <w:rsid w:val="54D47B64"/>
    <w:rsid w:val="54DC110F"/>
    <w:rsid w:val="55287EB0"/>
    <w:rsid w:val="561623FF"/>
    <w:rsid w:val="57AE6D93"/>
    <w:rsid w:val="57F95408"/>
    <w:rsid w:val="58847AF3"/>
    <w:rsid w:val="59B14918"/>
    <w:rsid w:val="59BDE728"/>
    <w:rsid w:val="59E92304"/>
    <w:rsid w:val="5A8D766B"/>
    <w:rsid w:val="5CDA4186"/>
    <w:rsid w:val="5CFDC638"/>
    <w:rsid w:val="5D4B6E32"/>
    <w:rsid w:val="5D83037A"/>
    <w:rsid w:val="5DF77933"/>
    <w:rsid w:val="5F0B0627"/>
    <w:rsid w:val="60BC7525"/>
    <w:rsid w:val="610C4B2A"/>
    <w:rsid w:val="615A3858"/>
    <w:rsid w:val="63343EC4"/>
    <w:rsid w:val="63620412"/>
    <w:rsid w:val="64155AA4"/>
    <w:rsid w:val="65F8334A"/>
    <w:rsid w:val="6609788A"/>
    <w:rsid w:val="67A7735B"/>
    <w:rsid w:val="69360996"/>
    <w:rsid w:val="69472E55"/>
    <w:rsid w:val="6C8E0AE9"/>
    <w:rsid w:val="6F5E1F53"/>
    <w:rsid w:val="71B27028"/>
    <w:rsid w:val="72E36D0B"/>
    <w:rsid w:val="74DB6895"/>
    <w:rsid w:val="752913AF"/>
    <w:rsid w:val="752F3AB5"/>
    <w:rsid w:val="77F8480C"/>
    <w:rsid w:val="785E75C1"/>
    <w:rsid w:val="79EFAF21"/>
    <w:rsid w:val="7CD23A13"/>
    <w:rsid w:val="7F7B8340"/>
    <w:rsid w:val="A5F996A9"/>
    <w:rsid w:val="C75F89AF"/>
    <w:rsid w:val="F5DA0C4B"/>
    <w:rsid w:val="FD5E8FEF"/>
    <w:rsid w:val="FDF7852F"/>
    <w:rsid w:val="FFE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5"/>
    </w:pPr>
    <w:rPr>
      <w:rFonts w:asci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99"/>
    <w:rPr>
      <w:color w:val="0000FF"/>
      <w:u w:val="single"/>
    </w:rPr>
  </w:style>
  <w:style w:type="paragraph" w:customStyle="1" w:styleId="16">
    <w:name w:val="Char"/>
    <w:basedOn w:val="1"/>
    <w:qFormat/>
    <w:uiPriority w:val="0"/>
    <w:pPr>
      <w:widowControl/>
      <w:jc w:val="left"/>
    </w:pPr>
    <w:rPr>
      <w:rFonts w:ascii="Tahoma" w:hAnsi="Tahoma" w:cs="仿宋_GB2312"/>
      <w:kern w:val="0"/>
      <w:sz w:val="24"/>
    </w:rPr>
  </w:style>
  <w:style w:type="paragraph" w:customStyle="1" w:styleId="17">
    <w:name w:val="正文缩进1"/>
    <w:basedOn w:val="1"/>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2777</Words>
  <Characters>2906</Characters>
  <Lines>22</Lines>
  <Paragraphs>6</Paragraphs>
  <TotalTime>56</TotalTime>
  <ScaleCrop>false</ScaleCrop>
  <LinksUpToDate>false</LinksUpToDate>
  <CharactersWithSpaces>2965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2025-01-07T02:43:00Z</dcterms:created>
  <dc:creator>Administrator</dc:creator>
  <cp:lastModifiedBy>Administrator</cp:lastModifiedBy>
  <cp:lastPrinted>2025-01-07T02:41:00Z</cp:lastPrinted>
  <dcterms:modified xsi:type="dcterms:W3CDTF">2025-01-17T08:04:04Z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FC23513EB5A5F415028E7B676F4C3BC9_43</vt:lpwstr>
  </property>
  <property fmtid="{D5CDD505-2E9C-101B-9397-08002B2CF9AE}" pid="3" name="KSOProductBuildVer">
    <vt:lpwstr>2052-12.1.0.19770</vt:lpwstr>
  </property>
  <property fmtid="{D5CDD505-2E9C-101B-9397-08002B2CF9AE}" pid="4" name="KSOTemplateDocerSaveRecord">
    <vt:lpwstr>eyJoZGlkIjoiMGU5MDQ5OTMzMmFhMGY1ZWYzMGE2YWQ5ZGFmY2FhNGMifQ==</vt:lpwstr>
  </property>
</Properties>
</file>