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4CFBC">
      <w:pPr>
        <w:pStyle w:val="2"/>
        <w:widowControl/>
        <w:spacing w:beforeAutospacing="0" w:afterAutospacing="0" w:line="560" w:lineRule="exact"/>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枣庄市台儿庄区交通运输局</w:t>
      </w:r>
    </w:p>
    <w:p w14:paraId="1251DE4B">
      <w:pPr>
        <w:pStyle w:val="2"/>
        <w:widowControl/>
        <w:spacing w:beforeAutospacing="0" w:afterAutospacing="0" w:line="560" w:lineRule="exact"/>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2024年政府信息公开工作年度报告</w:t>
      </w:r>
    </w:p>
    <w:p w14:paraId="498CE245">
      <w:pPr>
        <w:pStyle w:val="2"/>
        <w:widowControl/>
        <w:spacing w:beforeAutospacing="0" w:afterAutospacing="0" w:line="560" w:lineRule="exact"/>
        <w:jc w:val="center"/>
        <w:rPr>
          <w:rFonts w:hint="eastAsia" w:ascii="仿宋_GB2312" w:eastAsia="仿宋_GB2312" w:cs="仿宋_GB2312"/>
          <w:sz w:val="32"/>
          <w:szCs w:val="32"/>
        </w:rPr>
      </w:pPr>
    </w:p>
    <w:p w14:paraId="33A2F24C">
      <w:pPr>
        <w:pStyle w:val="2"/>
        <w:widowControl/>
        <w:spacing w:beforeAutospacing="0" w:afterAutospacing="0" w:line="560" w:lineRule="exact"/>
        <w:ind w:firstLine="640" w:firstLineChars="200"/>
        <w:rPr>
          <w:sz w:val="32"/>
          <w:szCs w:val="32"/>
        </w:rPr>
      </w:pPr>
      <w:r>
        <w:rPr>
          <w:rFonts w:ascii="仿宋_GB2312" w:eastAsia="仿宋_GB2312" w:cs="仿宋_GB2312"/>
          <w:sz w:val="32"/>
          <w:szCs w:val="32"/>
        </w:rPr>
        <w:t>本年度报告根据《中华人民共和国政府信息公开条例》</w:t>
      </w:r>
      <w:r>
        <w:rPr>
          <w:rFonts w:hint="eastAsia" w:ascii="仿宋_GB2312" w:eastAsia="仿宋_GB2312" w:cs="仿宋_GB2312"/>
          <w:sz w:val="32"/>
          <w:szCs w:val="32"/>
        </w:rPr>
        <w:t>(以下简称《条例》)、《山东省政府信息公开办法》（以下简称《办法》）和《国务院办公厅政府信息与政务公开办公室关于政府信息公开工作年度报告有关事项的通知》等精神要求，汇总2024年度区交通运输局政务公开情况编制而成。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6个部分。报告中所列数据的统计期限自2024年1月1日起至2024年12月31日止。本报告电子版在台儿庄区政务门户网站公布，欢迎查阅。如对本报告有疑问，可与区交通运输局办公室联系。（地址:台儿庄区文化路3199号，邮编:277400，电话:0632—8128100，电子邮箱:tezjtysj@zz.shandong.cn）。</w:t>
      </w:r>
    </w:p>
    <w:p w14:paraId="34DEB43E">
      <w:pPr>
        <w:pStyle w:val="2"/>
        <w:widowControl/>
        <w:spacing w:beforeAutospacing="0" w:afterAutospacing="0" w:line="560" w:lineRule="exact"/>
        <w:ind w:firstLine="640" w:firstLineChars="200"/>
        <w:rPr>
          <w:sz w:val="32"/>
          <w:szCs w:val="32"/>
        </w:rPr>
      </w:pPr>
      <w:r>
        <w:rPr>
          <w:rFonts w:ascii="黑体" w:hAnsi="宋体" w:eastAsia="黑体" w:cs="黑体"/>
          <w:sz w:val="32"/>
          <w:szCs w:val="32"/>
        </w:rPr>
        <w:t>一、总体情况</w:t>
      </w:r>
    </w:p>
    <w:p w14:paraId="5AA95224">
      <w:pPr>
        <w:pStyle w:val="2"/>
        <w:widowControl/>
        <w:spacing w:beforeAutospacing="0" w:afterAutospacing="0" w:line="560" w:lineRule="exact"/>
        <w:ind w:firstLine="640" w:firstLineChars="200"/>
        <w:rPr>
          <w:rFonts w:hint="eastAsia" w:ascii="楷体_GB2312" w:eastAsia="楷体_GB2312" w:cs="楷体_GB2312"/>
          <w:sz w:val="32"/>
          <w:szCs w:val="32"/>
          <w:highlight w:val="none"/>
        </w:rPr>
      </w:pPr>
      <w:r>
        <w:rPr>
          <w:rFonts w:hint="eastAsia" w:ascii="楷体_GB2312" w:eastAsia="楷体_GB2312" w:cs="楷体_GB2312"/>
          <w:sz w:val="32"/>
          <w:szCs w:val="32"/>
          <w:highlight w:val="none"/>
        </w:rPr>
        <w:t>（一）主动公开情况。</w:t>
      </w:r>
    </w:p>
    <w:p w14:paraId="01B69774">
      <w:pPr>
        <w:pStyle w:val="2"/>
        <w:widowControl/>
        <w:spacing w:beforeAutospacing="0" w:afterAutospacing="0" w:line="56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细化公开事项，坚持以主动公开基本目录为工作着力点，立足部门职责，梳理、补充、细化公开事项基本目录，突出重点，切实增强信息工作实效。聚焦业务工作，始终将业务作为切入点，紧紧围绕全区交通运输系统工作重点，抓住本局工作亮点，针对公众关切，权威、准确、及时地发布相关信息，及时公开重要决策和工作进展成效，并就相关政策要求，第一时间解读发布。推进信息公开，找准工作结合点，</w:t>
      </w:r>
      <w:r>
        <w:rPr>
          <w:rFonts w:hint="eastAsia" w:ascii="仿宋_GB2312" w:eastAsia="仿宋_GB2312" w:cs="仿宋_GB2312"/>
          <w:sz w:val="32"/>
          <w:szCs w:val="32"/>
          <w:highlight w:val="none"/>
          <w:lang w:val="en-US" w:eastAsia="zh-CN"/>
        </w:rPr>
        <w:t>完善我局政务信息公开指南，细化信息公开目标，</w:t>
      </w:r>
      <w:r>
        <w:rPr>
          <w:rFonts w:hint="eastAsia" w:ascii="仿宋_GB2312" w:eastAsia="仿宋_GB2312" w:cs="仿宋_GB2312"/>
          <w:sz w:val="32"/>
          <w:szCs w:val="32"/>
          <w:highlight w:val="none"/>
        </w:rPr>
        <w:t>一体部署、统筹推进新闻宣传和政务公开工作，充分利用新媒体平台，及时发布更新政务信息。</w:t>
      </w:r>
      <w:r>
        <w:rPr>
          <w:rFonts w:hint="eastAsia" w:ascii="仿宋_GB2312" w:eastAsia="仿宋_GB2312" w:cs="仿宋_GB2312"/>
          <w:sz w:val="32"/>
          <w:szCs w:val="32"/>
          <w:highlight w:val="none"/>
          <w:lang w:val="en-US" w:eastAsia="zh-CN"/>
        </w:rPr>
        <w:t>2024年，</w:t>
      </w:r>
      <w:r>
        <w:rPr>
          <w:rFonts w:hint="eastAsia" w:ascii="仿宋_GB2312" w:eastAsia="仿宋_GB2312" w:cs="仿宋_GB2312"/>
          <w:sz w:val="32"/>
          <w:szCs w:val="32"/>
          <w:highlight w:val="none"/>
        </w:rPr>
        <w:t>在区政府网站发布各类信息</w:t>
      </w:r>
      <w:r>
        <w:rPr>
          <w:rFonts w:hint="eastAsia" w:ascii="仿宋_GB2312" w:eastAsia="仿宋_GB2312" w:cs="仿宋_GB2312"/>
          <w:sz w:val="32"/>
          <w:szCs w:val="32"/>
          <w:highlight w:val="none"/>
          <w:lang w:val="en-US" w:eastAsia="zh-CN"/>
        </w:rPr>
        <w:t>共</w:t>
      </w:r>
      <w:r>
        <w:rPr>
          <w:rFonts w:hint="eastAsia" w:ascii="仿宋_GB2312" w:eastAsia="仿宋_GB2312" w:cs="仿宋_GB2312"/>
          <w:sz w:val="32"/>
          <w:szCs w:val="32"/>
          <w:highlight w:val="none"/>
        </w:rPr>
        <w:t>128条。</w:t>
      </w:r>
    </w:p>
    <w:p w14:paraId="4515D6A9">
      <w:pPr>
        <w:pStyle w:val="2"/>
        <w:widowControl/>
        <w:spacing w:beforeAutospacing="0" w:afterAutospacing="0" w:line="560" w:lineRule="exact"/>
        <w:ind w:firstLine="640" w:firstLineChars="200"/>
        <w:rPr>
          <w:rFonts w:hint="eastAsia" w:ascii="楷体_GB2312" w:eastAsia="楷体_GB2312" w:cs="楷体_GB2312"/>
          <w:sz w:val="32"/>
          <w:szCs w:val="32"/>
          <w:highlight w:val="none"/>
        </w:rPr>
      </w:pPr>
      <w:r>
        <w:rPr>
          <w:rFonts w:hint="eastAsia" w:ascii="楷体_GB2312" w:eastAsia="楷体_GB2312" w:cs="楷体_GB2312"/>
          <w:sz w:val="32"/>
          <w:szCs w:val="32"/>
          <w:highlight w:val="none"/>
        </w:rPr>
        <w:t>（二）依申请公开工作情况。</w:t>
      </w:r>
    </w:p>
    <w:p w14:paraId="6BCC7476">
      <w:pPr>
        <w:pStyle w:val="2"/>
        <w:widowControl/>
        <w:spacing w:beforeAutospacing="0" w:afterAutospacing="0" w:line="56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坚持“归口办理、依法有据、严谨规范、慎重稳妥”的原则，完善受理、审查、处理、答复以及保存备查等各环节流程，持续提升依申请公开办理水平。健全完善依申请公开办理规范和制度，切实做到依法有据、严谨规范。我局已全面完成运输系统政务服务事项标准化梳理工作，根据省、市、区统一部署，所有依申请政务服务事项实现了公开，依申请政务服务事项100%进驻市民中心窗口，审批权限下放到窗口。</w:t>
      </w:r>
    </w:p>
    <w:p w14:paraId="240344ED">
      <w:pPr>
        <w:pStyle w:val="2"/>
        <w:widowControl/>
        <w:spacing w:beforeAutospacing="0" w:afterAutospacing="0" w:line="560" w:lineRule="exact"/>
        <w:ind w:firstLine="640" w:firstLineChars="200"/>
        <w:rPr>
          <w:sz w:val="32"/>
          <w:szCs w:val="32"/>
          <w:highlight w:val="none"/>
        </w:rPr>
      </w:pPr>
      <w:r>
        <w:rPr>
          <w:rFonts w:hint="eastAsia" w:ascii="楷体_GB2312" w:eastAsia="楷体_GB2312" w:cs="楷体_GB2312"/>
          <w:sz w:val="32"/>
          <w:szCs w:val="32"/>
          <w:highlight w:val="none"/>
        </w:rPr>
        <w:t>（三）政府信息管理情况。</w:t>
      </w:r>
    </w:p>
    <w:p w14:paraId="0C3E61FB">
      <w:pPr>
        <w:pStyle w:val="2"/>
        <w:widowControl/>
        <w:spacing w:beforeAutospacing="0" w:afterAutospacing="0" w:line="560" w:lineRule="exact"/>
        <w:ind w:firstLine="640" w:firstLineChars="200"/>
        <w:rPr>
          <w:rFonts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聚焦主责主业，</w:t>
      </w:r>
      <w:r>
        <w:rPr>
          <w:rFonts w:hint="default" w:ascii="仿宋_GB2312" w:hAnsi="宋体" w:eastAsia="仿宋_GB2312" w:cs="仿宋_GB2312"/>
          <w:i w:val="0"/>
          <w:iCs w:val="0"/>
          <w:caps w:val="0"/>
          <w:color w:val="000000"/>
          <w:spacing w:val="0"/>
          <w:sz w:val="32"/>
          <w:szCs w:val="32"/>
          <w:shd w:val="clear" w:fill="FFFFFF"/>
        </w:rPr>
        <w:t>积极宣传交通政策法规、项目建设、民生热点等重点信息，提高交通工作的透明度，筑牢坚实的宣传阵地。严格信息发布，</w:t>
      </w:r>
      <w:r>
        <w:rPr>
          <w:rFonts w:hint="eastAsia" w:ascii="仿宋_GB2312" w:hAnsi="宋体" w:eastAsia="仿宋_GB2312" w:cs="仿宋_GB2312"/>
          <w:i w:val="0"/>
          <w:iCs w:val="0"/>
          <w:caps w:val="0"/>
          <w:color w:val="000000"/>
          <w:spacing w:val="0"/>
          <w:sz w:val="32"/>
          <w:szCs w:val="32"/>
          <w:shd w:val="clear" w:fill="FFFFFF"/>
        </w:rPr>
        <w:t>完善制度建设，提高政务公开标准化水平</w:t>
      </w:r>
      <w:r>
        <w:rPr>
          <w:rFonts w:hint="eastAsia" w:ascii="仿宋_GB2312" w:hAnsi="宋体" w:eastAsia="仿宋_GB2312" w:cs="仿宋_GB2312"/>
          <w:i w:val="0"/>
          <w:iCs w:val="0"/>
          <w:caps w:val="0"/>
          <w:color w:val="000000"/>
          <w:spacing w:val="0"/>
          <w:sz w:val="32"/>
          <w:szCs w:val="32"/>
          <w:shd w:val="clear" w:fill="FFFFFF"/>
          <w:lang w:eastAsia="zh-CN"/>
        </w:rPr>
        <w:t>，</w:t>
      </w:r>
      <w:r>
        <w:rPr>
          <w:rFonts w:hint="default" w:ascii="仿宋_GB2312" w:hAnsi="宋体" w:eastAsia="仿宋_GB2312" w:cs="仿宋_GB2312"/>
          <w:i w:val="0"/>
          <w:iCs w:val="0"/>
          <w:caps w:val="0"/>
          <w:color w:val="000000"/>
          <w:spacing w:val="0"/>
          <w:sz w:val="32"/>
          <w:szCs w:val="32"/>
          <w:shd w:val="clear" w:fill="FFFFFF"/>
        </w:rPr>
        <w:t>加强网上报送信息审批制度建设，</w:t>
      </w:r>
      <w:r>
        <w:rPr>
          <w:rFonts w:hint="eastAsia" w:ascii="仿宋_GB2312" w:hAnsi="宋体" w:eastAsia="仿宋_GB2312" w:cs="仿宋_GB2312"/>
          <w:i w:val="0"/>
          <w:iCs w:val="0"/>
          <w:caps w:val="0"/>
          <w:color w:val="000000"/>
          <w:spacing w:val="0"/>
          <w:sz w:val="32"/>
          <w:szCs w:val="32"/>
          <w:shd w:val="clear" w:fill="FFFFFF"/>
        </w:rPr>
        <w:t>按照《台儿庄区交通运输局政务信息工作方案》要求，</w:t>
      </w:r>
      <w:bookmarkStart w:id="9" w:name="_GoBack"/>
      <w:bookmarkEnd w:id="9"/>
      <w:r>
        <w:rPr>
          <w:rFonts w:hint="default" w:ascii="仿宋_GB2312" w:hAnsi="宋体" w:eastAsia="仿宋_GB2312" w:cs="仿宋_GB2312"/>
          <w:i w:val="0"/>
          <w:iCs w:val="0"/>
          <w:caps w:val="0"/>
          <w:color w:val="000000"/>
          <w:spacing w:val="0"/>
          <w:sz w:val="32"/>
          <w:szCs w:val="32"/>
          <w:shd w:val="clear" w:fill="FFFFFF"/>
        </w:rPr>
        <w:t>凡对外报送发布信息，</w:t>
      </w:r>
      <w:r>
        <w:rPr>
          <w:rFonts w:hint="eastAsia" w:ascii="仿宋_GB2312" w:hAnsi="宋体" w:eastAsia="仿宋_GB2312" w:cs="仿宋_GB2312"/>
          <w:i w:val="0"/>
          <w:iCs w:val="0"/>
          <w:caps w:val="0"/>
          <w:color w:val="000000"/>
          <w:spacing w:val="0"/>
          <w:sz w:val="32"/>
          <w:szCs w:val="32"/>
          <w:shd w:val="clear" w:fill="FFFFFF"/>
        </w:rPr>
        <w:t>严格</w:t>
      </w:r>
      <w:r>
        <w:rPr>
          <w:rFonts w:hint="eastAsia" w:ascii="仿宋_GB2312" w:hAnsi="宋体" w:eastAsia="仿宋_GB2312" w:cs="仿宋_GB2312"/>
          <w:i w:val="0"/>
          <w:iCs w:val="0"/>
          <w:caps w:val="0"/>
          <w:color w:val="000000"/>
          <w:spacing w:val="0"/>
          <w:sz w:val="32"/>
          <w:szCs w:val="32"/>
          <w:shd w:val="clear" w:fill="FFFFFF"/>
          <w:lang w:val="en-US" w:eastAsia="zh-CN"/>
        </w:rPr>
        <w:t>经</w:t>
      </w:r>
      <w:r>
        <w:rPr>
          <w:rFonts w:hint="eastAsia" w:ascii="仿宋_GB2312" w:hAnsi="宋体" w:eastAsia="仿宋_GB2312" w:cs="仿宋_GB2312"/>
          <w:i w:val="0"/>
          <w:iCs w:val="0"/>
          <w:caps w:val="0"/>
          <w:color w:val="000000"/>
          <w:spacing w:val="0"/>
          <w:sz w:val="32"/>
          <w:szCs w:val="32"/>
          <w:shd w:val="clear" w:fill="FFFFFF"/>
        </w:rPr>
        <w:t>主要领导、分管领导、科室负责</w:t>
      </w:r>
      <w:r>
        <w:rPr>
          <w:rFonts w:hint="eastAsia" w:ascii="仿宋_GB2312" w:hAnsi="宋体" w:eastAsia="仿宋_GB2312" w:cs="仿宋_GB2312"/>
          <w:i w:val="0"/>
          <w:iCs w:val="0"/>
          <w:caps w:val="0"/>
          <w:color w:val="000000"/>
          <w:spacing w:val="0"/>
          <w:sz w:val="32"/>
          <w:szCs w:val="32"/>
          <w:shd w:val="clear" w:fill="FFFFFF"/>
          <w:lang w:val="en-US" w:eastAsia="zh-CN"/>
        </w:rPr>
        <w:t>人</w:t>
      </w:r>
      <w:r>
        <w:rPr>
          <w:rFonts w:hint="default" w:ascii="仿宋_GB2312" w:hAnsi="宋体" w:eastAsia="仿宋_GB2312" w:cs="仿宋_GB2312"/>
          <w:i w:val="0"/>
          <w:iCs w:val="0"/>
          <w:caps w:val="0"/>
          <w:color w:val="000000"/>
          <w:spacing w:val="0"/>
          <w:sz w:val="32"/>
          <w:szCs w:val="32"/>
          <w:shd w:val="clear" w:fill="FFFFFF"/>
        </w:rPr>
        <w:t>“三审三校”后发布</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实行</w:t>
      </w:r>
      <w:r>
        <w:rPr>
          <w:rFonts w:hint="eastAsia" w:ascii="仿宋_GB2312" w:hAnsi="宋体" w:eastAsia="仿宋_GB2312" w:cs="仿宋_GB2312"/>
          <w:i w:val="0"/>
          <w:iCs w:val="0"/>
          <w:caps w:val="0"/>
          <w:color w:val="000000"/>
          <w:spacing w:val="0"/>
          <w:sz w:val="32"/>
          <w:szCs w:val="32"/>
          <w:shd w:val="clear" w:fill="FFFFFF"/>
        </w:rPr>
        <w:t>专人管理的长效管理机制，确保政务信息公开数量和质量。</w:t>
      </w:r>
    </w:p>
    <w:p w14:paraId="1E418EC0">
      <w:pPr>
        <w:pStyle w:val="2"/>
        <w:widowControl/>
        <w:spacing w:beforeAutospacing="0" w:afterAutospacing="0" w:line="560" w:lineRule="exact"/>
        <w:ind w:firstLine="640" w:firstLineChars="200"/>
        <w:rPr>
          <w:sz w:val="32"/>
          <w:szCs w:val="32"/>
        </w:rPr>
      </w:pPr>
      <w:r>
        <w:rPr>
          <w:rFonts w:hint="eastAsia" w:ascii="楷体_GB2312" w:eastAsia="楷体_GB2312" w:cs="楷体_GB2312"/>
          <w:sz w:val="32"/>
          <w:szCs w:val="32"/>
        </w:rPr>
        <w:t>（四）平台建设情况。</w:t>
      </w:r>
    </w:p>
    <w:p w14:paraId="0507290D">
      <w:pPr>
        <w:pStyle w:val="2"/>
        <w:widowControl/>
        <w:spacing w:beforeAutospacing="0" w:afterAutospacing="0" w:line="560" w:lineRule="exact"/>
        <w:ind w:firstLine="640" w:firstLineChars="200"/>
        <w:rPr>
          <w:sz w:val="32"/>
          <w:szCs w:val="32"/>
          <w:highlight w:val="yellow"/>
        </w:rPr>
      </w:pPr>
      <w:r>
        <w:rPr>
          <w:rFonts w:hint="eastAsia" w:ascii="仿宋_GB2312" w:eastAsia="仿宋_GB2312" w:cs="仿宋_GB2312"/>
          <w:sz w:val="32"/>
          <w:szCs w:val="32"/>
        </w:rPr>
        <w:t>完善政务服务网络平台，推进行政许可及公共服务事项公开。一是推动公共服务事项清单公布和上网运行。截至目前：</w:t>
      </w:r>
      <w:r>
        <w:rPr>
          <w:rFonts w:hint="eastAsia" w:ascii="仿宋_GB2312" w:eastAsia="仿宋_GB2312" w:cs="仿宋_GB2312"/>
          <w:color w:val="C00000"/>
          <w:sz w:val="32"/>
          <w:szCs w:val="32"/>
        </w:rPr>
        <w:t>我局在山东政务服务网共公布依申请公共服务事项目录325项，其中行政许可9项、行政处罚258项、行政强制13项、行政确认9项、其他权力9项、行政检查4项、公共服务2项、行政备案21项、其他权力9项。</w:t>
      </w:r>
      <w:r>
        <w:rPr>
          <w:rFonts w:hint="eastAsia" w:ascii="仿宋_GB2312" w:eastAsia="仿宋_GB2312" w:cs="仿宋_GB2312"/>
          <w:sz w:val="32"/>
          <w:szCs w:val="32"/>
        </w:rPr>
        <w:t>并完善了实施清单要素、配置业务流程、提升网办深度，确保事项规范高效运行。二是我局在</w:t>
      </w:r>
      <w:r>
        <w:rPr>
          <w:rFonts w:hint="eastAsia" w:ascii="仿宋_GB2312" w:eastAsia="仿宋_GB2312" w:cs="仿宋_GB2312"/>
          <w:color w:val="C00000"/>
          <w:sz w:val="32"/>
          <w:szCs w:val="32"/>
        </w:rPr>
        <w:t>山东省政务服务事项标准化梳理和管理系统</w:t>
      </w:r>
      <w:r>
        <w:rPr>
          <w:rFonts w:hint="eastAsia" w:ascii="仿宋_GB2312" w:eastAsia="仿宋_GB2312" w:cs="仿宋_GB2312"/>
          <w:sz w:val="32"/>
          <w:szCs w:val="32"/>
        </w:rPr>
        <w:t>中共认领118项行政权力事项和公共服务事项2项，并严格按照标准，修改完善事项要素，实现同一事项省、市、区同标准办理。</w:t>
      </w:r>
    </w:p>
    <w:p w14:paraId="544AC3E6">
      <w:pPr>
        <w:pStyle w:val="2"/>
        <w:widowControl/>
        <w:spacing w:beforeAutospacing="0" w:afterAutospacing="0" w:line="560" w:lineRule="exact"/>
        <w:ind w:firstLine="640" w:firstLineChars="200"/>
        <w:rPr>
          <w:sz w:val="32"/>
          <w:szCs w:val="32"/>
          <w:highlight w:val="none"/>
        </w:rPr>
      </w:pPr>
      <w:r>
        <w:rPr>
          <w:rFonts w:hint="eastAsia" w:ascii="楷体_GB2312" w:eastAsia="楷体_GB2312" w:cs="楷体_GB2312"/>
          <w:sz w:val="32"/>
          <w:szCs w:val="32"/>
          <w:highlight w:val="none"/>
        </w:rPr>
        <w:t>（五）监督保障情况。</w:t>
      </w:r>
    </w:p>
    <w:p w14:paraId="36777C69">
      <w:pPr>
        <w:pStyle w:val="2"/>
        <w:widowControl/>
        <w:spacing w:beforeAutospacing="0" w:afterAutospacing="0" w:line="560" w:lineRule="exact"/>
        <w:ind w:firstLine="640" w:firstLineChars="200"/>
        <w:rPr>
          <w:rFonts w:hint="eastAsia" w:eastAsia="仿宋_GB2312"/>
          <w:sz w:val="32"/>
          <w:szCs w:val="32"/>
          <w:lang w:eastAsia="zh-CN"/>
        </w:rPr>
      </w:pPr>
      <w:r>
        <w:rPr>
          <w:rFonts w:hint="eastAsia" w:ascii="仿宋_GB2312" w:eastAsia="仿宋_GB2312" w:cs="仿宋_GB2312"/>
          <w:sz w:val="32"/>
          <w:szCs w:val="32"/>
          <w:highlight w:val="none"/>
        </w:rPr>
        <w:t>加强组织领导，建立健全政务公开监督的组织机构和工作流程</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提高管理服务水平。区交通运输局一直高度重视政务公开工作， 将政务公开工作纳入领导班子分工，明确1名分管领导直接抓工作落实。局办公室牵头具体负责政务公开、协调、落实等工作，并明确专人负责做好政务信息的报送和公开工作</w:t>
      </w:r>
      <w:r>
        <w:rPr>
          <w:rFonts w:hint="eastAsia" w:ascii="仿宋_GB2312" w:eastAsia="仿宋_GB2312" w:cs="仿宋_GB2312"/>
          <w:sz w:val="32"/>
          <w:szCs w:val="32"/>
          <w:highlight w:val="none"/>
          <w:lang w:eastAsia="zh-CN"/>
        </w:rPr>
        <w:t>，</w:t>
      </w:r>
      <w:r>
        <w:rPr>
          <w:rFonts w:ascii="仿宋_GB2312" w:hAnsi="宋体" w:eastAsia="仿宋_GB2312" w:cs="仿宋_GB2312"/>
          <w:i w:val="0"/>
          <w:iCs w:val="0"/>
          <w:caps w:val="0"/>
          <w:color w:val="000000"/>
          <w:spacing w:val="0"/>
          <w:sz w:val="32"/>
          <w:szCs w:val="32"/>
          <w:shd w:val="clear" w:fill="FFFFFF"/>
        </w:rPr>
        <w:t>严格落实</w:t>
      </w:r>
      <w:r>
        <w:rPr>
          <w:rFonts w:hint="eastAsia" w:ascii="仿宋_GB2312" w:hAnsi="宋体" w:eastAsia="仿宋_GB2312" w:cs="仿宋_GB2312"/>
          <w:i w:val="0"/>
          <w:iCs w:val="0"/>
          <w:caps w:val="0"/>
          <w:color w:val="000000"/>
          <w:spacing w:val="0"/>
          <w:sz w:val="32"/>
          <w:szCs w:val="32"/>
          <w:shd w:val="clear" w:fill="FFFFFF"/>
        </w:rPr>
        <w:t>“三审三核”制度，确保发布内容的正确性、准确性。</w:t>
      </w:r>
      <w:r>
        <w:rPr>
          <w:rFonts w:ascii="仿宋_GB2312" w:hAnsi="宋体" w:eastAsia="仿宋_GB2312" w:cs="仿宋_GB2312"/>
          <w:i w:val="0"/>
          <w:iCs w:val="0"/>
          <w:caps w:val="0"/>
          <w:color w:val="000000"/>
          <w:spacing w:val="0"/>
          <w:sz w:val="32"/>
          <w:szCs w:val="32"/>
          <w:shd w:val="clear" w:fill="FFFFFF"/>
        </w:rPr>
        <w:t>定期组织业务人员开展业务培训，不断提高政务公开工作的质量和水平。</w:t>
      </w:r>
      <w:r>
        <w:rPr>
          <w:rFonts w:hint="eastAsia" w:ascii="仿宋_GB2312" w:hAnsi="宋体" w:eastAsia="仿宋_GB2312" w:cs="仿宋_GB2312"/>
          <w:i w:val="0"/>
          <w:iCs w:val="0"/>
          <w:caps w:val="0"/>
          <w:color w:val="000000"/>
          <w:spacing w:val="0"/>
          <w:sz w:val="32"/>
          <w:szCs w:val="32"/>
          <w:shd w:val="clear" w:fill="FFFFFF"/>
        </w:rPr>
        <w:t>    </w:t>
      </w:r>
    </w:p>
    <w:p w14:paraId="5934D1E6">
      <w:pPr>
        <w:pStyle w:val="2"/>
        <w:widowControl/>
        <w:spacing w:beforeAutospacing="0" w:afterAutospacing="0" w:line="560" w:lineRule="exact"/>
        <w:ind w:firstLine="640" w:firstLineChars="200"/>
      </w:pPr>
      <w:r>
        <w:rPr>
          <w:rFonts w:hint="eastAsia" w:ascii="黑体" w:hAnsi="宋体" w:eastAsia="黑体" w:cs="黑体"/>
          <w:sz w:val="32"/>
          <w:szCs w:val="32"/>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2205"/>
        <w:gridCol w:w="2205"/>
        <w:gridCol w:w="2205"/>
        <w:gridCol w:w="2205"/>
      </w:tblGrid>
      <w:tr w14:paraId="6EF801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left w:w="75" w:type="dxa"/>
              <w:right w:w="75" w:type="dxa"/>
            </w:tcMar>
            <w:vAlign w:val="center"/>
          </w:tcPr>
          <w:p w14:paraId="7791E5E2">
            <w:pPr>
              <w:pStyle w:val="2"/>
              <w:widowControl/>
              <w:wordWrap w:val="0"/>
              <w:spacing w:beforeAutospacing="0" w:afterAutospacing="0" w:line="315" w:lineRule="atLeast"/>
              <w:jc w:val="center"/>
            </w:pPr>
            <w:r>
              <w:rPr>
                <w:rFonts w:hint="eastAsia" w:ascii="黑体" w:hAnsi="宋体" w:eastAsia="黑体" w:cs="黑体"/>
                <w:sz w:val="21"/>
                <w:szCs w:val="21"/>
              </w:rPr>
              <w:t>第二十条第（一）项</w:t>
            </w:r>
          </w:p>
        </w:tc>
      </w:tr>
      <w:tr w14:paraId="4B194E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537A51C7">
            <w:pPr>
              <w:pStyle w:val="2"/>
              <w:widowControl/>
              <w:wordWrap w:val="0"/>
              <w:spacing w:beforeAutospacing="0" w:afterAutospacing="0" w:line="315" w:lineRule="atLeast"/>
              <w:jc w:val="center"/>
            </w:pPr>
            <w:r>
              <w:rPr>
                <w:rFonts w:hint="eastAsia" w:ascii="仿宋_GB2312" w:eastAsia="仿宋_GB2312" w:cs="仿宋_GB2312"/>
                <w:sz w:val="21"/>
                <w:szCs w:val="21"/>
              </w:rPr>
              <w:t>信息内容</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7D1CD269">
            <w:pPr>
              <w:pStyle w:val="2"/>
              <w:widowControl/>
              <w:wordWrap w:val="0"/>
              <w:spacing w:beforeAutospacing="0" w:afterAutospacing="0" w:line="315" w:lineRule="atLeast"/>
              <w:jc w:val="center"/>
            </w:pPr>
            <w:r>
              <w:rPr>
                <w:rFonts w:hint="eastAsia" w:ascii="仿宋_GB2312" w:eastAsia="仿宋_GB2312" w:cs="仿宋_GB2312"/>
                <w:sz w:val="21"/>
                <w:szCs w:val="21"/>
              </w:rPr>
              <w:t>本年制发件数</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2C3D4DA5">
            <w:pPr>
              <w:pStyle w:val="2"/>
              <w:widowControl/>
              <w:wordWrap w:val="0"/>
              <w:spacing w:beforeAutospacing="0" w:afterAutospacing="0" w:line="315" w:lineRule="atLeast"/>
              <w:jc w:val="center"/>
            </w:pPr>
            <w:r>
              <w:rPr>
                <w:rFonts w:hint="eastAsia" w:ascii="仿宋_GB2312" w:eastAsia="仿宋_GB2312" w:cs="仿宋_GB2312"/>
                <w:sz w:val="21"/>
                <w:szCs w:val="21"/>
              </w:rPr>
              <w:t>本年废止件数</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34CA8CBD">
            <w:pPr>
              <w:pStyle w:val="2"/>
              <w:widowControl/>
              <w:wordWrap w:val="0"/>
              <w:spacing w:beforeAutospacing="0" w:afterAutospacing="0" w:line="315" w:lineRule="atLeast"/>
              <w:jc w:val="center"/>
            </w:pPr>
            <w:r>
              <w:rPr>
                <w:rFonts w:hint="eastAsia" w:ascii="仿宋_GB2312" w:eastAsia="仿宋_GB2312" w:cs="仿宋_GB2312"/>
                <w:sz w:val="21"/>
                <w:szCs w:val="21"/>
              </w:rPr>
              <w:t>现行有效件数</w:t>
            </w:r>
          </w:p>
        </w:tc>
      </w:tr>
      <w:tr w14:paraId="358132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085A14D3">
            <w:pPr>
              <w:pStyle w:val="2"/>
              <w:widowControl/>
              <w:wordWrap w:val="0"/>
              <w:spacing w:beforeAutospacing="0" w:afterAutospacing="0" w:line="315" w:lineRule="atLeast"/>
            </w:pPr>
            <w:r>
              <w:rPr>
                <w:rFonts w:hint="eastAsia" w:ascii="仿宋_GB2312" w:eastAsia="仿宋_GB2312" w:cs="仿宋_GB2312"/>
                <w:sz w:val="21"/>
                <w:szCs w:val="21"/>
              </w:rPr>
              <w:t>规章</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1B67FC57">
            <w:pPr>
              <w:pStyle w:val="2"/>
              <w:widowControl/>
              <w:wordWrap w:val="0"/>
              <w:spacing w:beforeAutospacing="0" w:afterAutospacing="0" w:line="315" w:lineRule="atLeast"/>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2ACE940D">
            <w:pPr>
              <w:pStyle w:val="2"/>
              <w:widowControl/>
              <w:wordWrap w:val="0"/>
              <w:spacing w:beforeAutospacing="0" w:afterAutospacing="0" w:line="315" w:lineRule="atLeast"/>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77CCF42C">
            <w:pPr>
              <w:pStyle w:val="2"/>
              <w:widowControl/>
              <w:wordWrap w:val="0"/>
              <w:spacing w:beforeAutospacing="0" w:afterAutospacing="0" w:line="315" w:lineRule="atLeast"/>
              <w:jc w:val="center"/>
            </w:pPr>
            <w:r>
              <w:rPr>
                <w:rFonts w:hint="eastAsia" w:ascii="仿宋_GB2312" w:eastAsia="仿宋_GB2312" w:cs="仿宋_GB2312"/>
                <w:sz w:val="21"/>
                <w:szCs w:val="21"/>
              </w:rPr>
              <w:t>0</w:t>
            </w:r>
          </w:p>
        </w:tc>
      </w:tr>
      <w:tr w14:paraId="7D0D26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4A35A1D2">
            <w:pPr>
              <w:pStyle w:val="2"/>
              <w:widowControl/>
              <w:wordWrap w:val="0"/>
              <w:spacing w:beforeAutospacing="0" w:afterAutospacing="0" w:line="315" w:lineRule="atLeast"/>
            </w:pPr>
            <w:r>
              <w:rPr>
                <w:rFonts w:hint="eastAsia" w:ascii="仿宋_GB2312" w:eastAsia="仿宋_GB2312" w:cs="仿宋_GB2312"/>
                <w:sz w:val="21"/>
                <w:szCs w:val="21"/>
              </w:rPr>
              <w:t>行政规范性文件</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4CA86455">
            <w:pPr>
              <w:pStyle w:val="2"/>
              <w:widowControl/>
              <w:wordWrap w:val="0"/>
              <w:spacing w:beforeAutospacing="0" w:afterAutospacing="0" w:line="315" w:lineRule="atLeast"/>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331C615E">
            <w:pPr>
              <w:pStyle w:val="2"/>
              <w:widowControl/>
              <w:wordWrap w:val="0"/>
              <w:spacing w:beforeAutospacing="0" w:afterAutospacing="0" w:line="315" w:lineRule="atLeast"/>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shd w:val="clear" w:color="auto" w:fill="auto"/>
            <w:tcMar>
              <w:left w:w="75" w:type="dxa"/>
              <w:right w:w="75" w:type="dxa"/>
            </w:tcMar>
            <w:vAlign w:val="center"/>
          </w:tcPr>
          <w:p w14:paraId="64FC7740">
            <w:pPr>
              <w:pStyle w:val="2"/>
              <w:widowControl/>
              <w:wordWrap w:val="0"/>
              <w:spacing w:beforeAutospacing="0" w:afterAutospacing="0" w:line="315" w:lineRule="atLeast"/>
              <w:jc w:val="center"/>
            </w:pPr>
            <w:r>
              <w:rPr>
                <w:rFonts w:hint="eastAsia" w:ascii="仿宋_GB2312" w:eastAsia="仿宋_GB2312" w:cs="仿宋_GB2312"/>
                <w:sz w:val="21"/>
                <w:szCs w:val="21"/>
              </w:rPr>
              <w:t>0</w:t>
            </w:r>
          </w:p>
        </w:tc>
      </w:tr>
      <w:tr w14:paraId="19A987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8820" w:type="dxa"/>
            <w:gridSpan w:val="4"/>
            <w:tcBorders>
              <w:top w:val="nil"/>
              <w:left w:val="single" w:color="auto" w:sz="6" w:space="0"/>
              <w:bottom w:val="outset" w:color="auto" w:sz="6" w:space="0"/>
              <w:right w:val="single" w:color="000000" w:sz="6" w:space="0"/>
            </w:tcBorders>
            <w:shd w:val="clear" w:color="auto" w:fill="auto"/>
            <w:tcMar>
              <w:left w:w="75" w:type="dxa"/>
              <w:right w:w="75" w:type="dxa"/>
            </w:tcMar>
            <w:vAlign w:val="center"/>
          </w:tcPr>
          <w:p w14:paraId="39326F08">
            <w:pPr>
              <w:pStyle w:val="2"/>
              <w:widowControl/>
              <w:wordWrap w:val="0"/>
              <w:spacing w:beforeAutospacing="0" w:afterAutospacing="0" w:line="315" w:lineRule="atLeast"/>
              <w:jc w:val="center"/>
            </w:pPr>
            <w:r>
              <w:rPr>
                <w:rFonts w:hint="eastAsia" w:ascii="黑体" w:hAnsi="宋体" w:eastAsia="黑体" w:cs="黑体"/>
                <w:sz w:val="21"/>
                <w:szCs w:val="21"/>
              </w:rPr>
              <w:t>第二十条第（五）项</w:t>
            </w:r>
          </w:p>
        </w:tc>
      </w:tr>
      <w:tr w14:paraId="712AEC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24F9F929">
            <w:pPr>
              <w:pStyle w:val="2"/>
              <w:widowControl/>
              <w:wordWrap w:val="0"/>
              <w:spacing w:beforeAutospacing="0" w:afterAutospacing="0" w:line="315" w:lineRule="atLeast"/>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75" w:type="dxa"/>
              <w:right w:w="75" w:type="dxa"/>
            </w:tcMar>
            <w:vAlign w:val="center"/>
          </w:tcPr>
          <w:p w14:paraId="2BB1CF69">
            <w:pPr>
              <w:pStyle w:val="2"/>
              <w:widowControl/>
              <w:wordWrap w:val="0"/>
              <w:spacing w:beforeAutospacing="0" w:afterAutospacing="0" w:line="315" w:lineRule="atLeast"/>
              <w:jc w:val="center"/>
            </w:pPr>
            <w:r>
              <w:rPr>
                <w:rFonts w:hint="eastAsia" w:ascii="仿宋_GB2312" w:eastAsia="仿宋_GB2312" w:cs="仿宋_GB2312"/>
                <w:sz w:val="21"/>
                <w:szCs w:val="21"/>
              </w:rPr>
              <w:t>本年处理决定数量</w:t>
            </w:r>
          </w:p>
        </w:tc>
      </w:tr>
      <w:tr w14:paraId="38BD72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57849BE4">
            <w:pPr>
              <w:pStyle w:val="2"/>
              <w:widowControl/>
              <w:wordWrap w:val="0"/>
              <w:spacing w:beforeAutospacing="0" w:afterAutospacing="0" w:line="315" w:lineRule="atLeast"/>
            </w:pPr>
            <w:r>
              <w:rPr>
                <w:rFonts w:hint="eastAsia" w:ascii="仿宋_GB2312" w:eastAsia="仿宋_GB2312" w:cs="仿宋_GB2312"/>
                <w:sz w:val="21"/>
                <w:szCs w:val="21"/>
              </w:rPr>
              <w:t>行政许可</w:t>
            </w:r>
          </w:p>
        </w:tc>
        <w:tc>
          <w:tcPr>
            <w:tcW w:w="6615" w:type="dxa"/>
            <w:gridSpan w:val="3"/>
            <w:tcBorders>
              <w:top w:val="nil"/>
              <w:left w:val="nil"/>
              <w:bottom w:val="outset" w:color="auto" w:sz="6" w:space="0"/>
              <w:right w:val="single" w:color="000000" w:sz="6" w:space="0"/>
            </w:tcBorders>
            <w:shd w:val="clear" w:color="auto" w:fill="auto"/>
            <w:tcMar>
              <w:left w:w="75" w:type="dxa"/>
              <w:right w:w="75" w:type="dxa"/>
            </w:tcMar>
            <w:vAlign w:val="center"/>
          </w:tcPr>
          <w:p w14:paraId="0A8B4D4B">
            <w:pPr>
              <w:pStyle w:val="2"/>
              <w:widowControl/>
              <w:wordWrap w:val="0"/>
              <w:spacing w:beforeAutospacing="0" w:afterAutospacing="0" w:line="315" w:lineRule="atLeast"/>
              <w:jc w:val="center"/>
            </w:pPr>
            <w:r>
              <w:rPr>
                <w:rFonts w:hint="eastAsia" w:ascii="仿宋_GB2312" w:eastAsia="仿宋_GB2312" w:cs="仿宋_GB2312"/>
                <w:sz w:val="21"/>
                <w:szCs w:val="21"/>
              </w:rPr>
              <w:t>0</w:t>
            </w:r>
          </w:p>
        </w:tc>
      </w:tr>
      <w:tr w14:paraId="31CED7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8820" w:type="dxa"/>
            <w:gridSpan w:val="4"/>
            <w:tcBorders>
              <w:top w:val="nil"/>
              <w:left w:val="single" w:color="auto" w:sz="6" w:space="0"/>
              <w:bottom w:val="outset" w:color="auto" w:sz="6" w:space="0"/>
              <w:right w:val="single" w:color="000000" w:sz="6" w:space="0"/>
            </w:tcBorders>
            <w:shd w:val="clear" w:color="auto" w:fill="auto"/>
            <w:tcMar>
              <w:left w:w="75" w:type="dxa"/>
              <w:right w:w="75" w:type="dxa"/>
            </w:tcMar>
            <w:vAlign w:val="center"/>
          </w:tcPr>
          <w:p w14:paraId="30B18759">
            <w:pPr>
              <w:pStyle w:val="2"/>
              <w:widowControl/>
              <w:wordWrap w:val="0"/>
              <w:spacing w:beforeAutospacing="0" w:afterAutospacing="0" w:line="315" w:lineRule="atLeast"/>
              <w:jc w:val="center"/>
            </w:pPr>
            <w:r>
              <w:rPr>
                <w:rFonts w:hint="eastAsia" w:ascii="黑体" w:hAnsi="宋体" w:eastAsia="黑体" w:cs="黑体"/>
                <w:sz w:val="21"/>
                <w:szCs w:val="21"/>
              </w:rPr>
              <w:t>第二十条第（六）项</w:t>
            </w:r>
          </w:p>
        </w:tc>
      </w:tr>
      <w:tr w14:paraId="7CE73B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4C053500">
            <w:pPr>
              <w:pStyle w:val="2"/>
              <w:widowControl/>
              <w:wordWrap w:val="0"/>
              <w:spacing w:beforeAutospacing="0" w:afterAutospacing="0" w:line="315" w:lineRule="atLeast"/>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75" w:type="dxa"/>
              <w:right w:w="75" w:type="dxa"/>
            </w:tcMar>
            <w:vAlign w:val="center"/>
          </w:tcPr>
          <w:p w14:paraId="61BF1BB4">
            <w:pPr>
              <w:pStyle w:val="2"/>
              <w:widowControl/>
              <w:wordWrap w:val="0"/>
              <w:spacing w:beforeAutospacing="0" w:afterAutospacing="0" w:line="315" w:lineRule="atLeast"/>
              <w:jc w:val="center"/>
            </w:pPr>
            <w:r>
              <w:rPr>
                <w:rFonts w:hint="eastAsia" w:ascii="仿宋_GB2312" w:eastAsia="仿宋_GB2312" w:cs="仿宋_GB2312"/>
                <w:sz w:val="21"/>
                <w:szCs w:val="21"/>
              </w:rPr>
              <w:t>本年处理决定数量</w:t>
            </w:r>
          </w:p>
        </w:tc>
      </w:tr>
      <w:tr w14:paraId="3E4143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1F817A84">
            <w:pPr>
              <w:pStyle w:val="2"/>
              <w:widowControl/>
              <w:wordWrap w:val="0"/>
              <w:spacing w:beforeAutospacing="0" w:afterAutospacing="0" w:line="315" w:lineRule="atLeast"/>
            </w:pPr>
            <w:r>
              <w:rPr>
                <w:rFonts w:hint="eastAsia" w:ascii="仿宋_GB2312" w:eastAsia="仿宋_GB2312" w:cs="仿宋_GB2312"/>
                <w:sz w:val="21"/>
                <w:szCs w:val="21"/>
              </w:rPr>
              <w:t>行政处罚</w:t>
            </w:r>
          </w:p>
        </w:tc>
        <w:tc>
          <w:tcPr>
            <w:tcW w:w="6615" w:type="dxa"/>
            <w:gridSpan w:val="3"/>
            <w:tcBorders>
              <w:top w:val="nil"/>
              <w:left w:val="nil"/>
              <w:bottom w:val="outset" w:color="auto" w:sz="6" w:space="0"/>
              <w:right w:val="single" w:color="000000" w:sz="6" w:space="0"/>
            </w:tcBorders>
            <w:shd w:val="clear" w:color="auto" w:fill="auto"/>
            <w:tcMar>
              <w:left w:w="75" w:type="dxa"/>
              <w:right w:w="75" w:type="dxa"/>
            </w:tcMar>
            <w:vAlign w:val="center"/>
          </w:tcPr>
          <w:p w14:paraId="59448076">
            <w:pPr>
              <w:pStyle w:val="2"/>
              <w:widowControl/>
              <w:wordWrap w:val="0"/>
              <w:spacing w:beforeAutospacing="0" w:afterAutospacing="0" w:line="315" w:lineRule="atLeast"/>
              <w:jc w:val="center"/>
            </w:pPr>
            <w:r>
              <w:rPr>
                <w:rFonts w:hint="eastAsia"/>
              </w:rPr>
              <w:t>621</w:t>
            </w:r>
          </w:p>
        </w:tc>
      </w:tr>
      <w:tr w14:paraId="264108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32E18094">
            <w:pPr>
              <w:pStyle w:val="2"/>
              <w:widowControl/>
              <w:wordWrap w:val="0"/>
              <w:spacing w:beforeAutospacing="0" w:afterAutospacing="0" w:line="315" w:lineRule="atLeast"/>
            </w:pPr>
            <w:r>
              <w:rPr>
                <w:rFonts w:hint="eastAsia" w:ascii="仿宋_GB2312" w:eastAsia="仿宋_GB2312" w:cs="仿宋_GB2312"/>
                <w:sz w:val="21"/>
                <w:szCs w:val="21"/>
              </w:rPr>
              <w:t>行政强制</w:t>
            </w:r>
          </w:p>
        </w:tc>
        <w:tc>
          <w:tcPr>
            <w:tcW w:w="6615" w:type="dxa"/>
            <w:gridSpan w:val="3"/>
            <w:tcBorders>
              <w:top w:val="nil"/>
              <w:left w:val="nil"/>
              <w:bottom w:val="outset" w:color="auto" w:sz="6" w:space="0"/>
              <w:right w:val="single" w:color="000000" w:sz="6" w:space="0"/>
            </w:tcBorders>
            <w:shd w:val="clear" w:color="auto" w:fill="auto"/>
            <w:tcMar>
              <w:left w:w="75" w:type="dxa"/>
              <w:right w:w="75" w:type="dxa"/>
            </w:tcMar>
            <w:vAlign w:val="center"/>
          </w:tcPr>
          <w:p w14:paraId="6C7D8748">
            <w:pPr>
              <w:pStyle w:val="2"/>
              <w:widowControl/>
              <w:wordWrap w:val="0"/>
              <w:spacing w:beforeAutospacing="0" w:afterAutospacing="0" w:line="315" w:lineRule="atLeast"/>
              <w:jc w:val="center"/>
            </w:pPr>
            <w:r>
              <w:rPr>
                <w:rFonts w:hint="eastAsia"/>
              </w:rPr>
              <w:t>47</w:t>
            </w:r>
          </w:p>
        </w:tc>
      </w:tr>
      <w:tr w14:paraId="10F2C3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8820" w:type="dxa"/>
            <w:gridSpan w:val="4"/>
            <w:tcBorders>
              <w:top w:val="nil"/>
              <w:left w:val="single" w:color="auto" w:sz="6" w:space="0"/>
              <w:bottom w:val="outset" w:color="auto" w:sz="6" w:space="0"/>
              <w:right w:val="single" w:color="000000" w:sz="6" w:space="0"/>
            </w:tcBorders>
            <w:shd w:val="clear" w:color="auto" w:fill="auto"/>
            <w:tcMar>
              <w:left w:w="75" w:type="dxa"/>
              <w:right w:w="75" w:type="dxa"/>
            </w:tcMar>
            <w:vAlign w:val="center"/>
          </w:tcPr>
          <w:p w14:paraId="5FA38CDC">
            <w:pPr>
              <w:pStyle w:val="2"/>
              <w:widowControl/>
              <w:wordWrap w:val="0"/>
              <w:spacing w:beforeAutospacing="0" w:afterAutospacing="0" w:line="315" w:lineRule="atLeast"/>
              <w:jc w:val="center"/>
            </w:pPr>
            <w:r>
              <w:rPr>
                <w:rFonts w:hint="eastAsia" w:ascii="黑体" w:hAnsi="宋体" w:eastAsia="黑体" w:cs="黑体"/>
                <w:sz w:val="21"/>
                <w:szCs w:val="21"/>
              </w:rPr>
              <w:t>第二十条第（八）项</w:t>
            </w:r>
          </w:p>
        </w:tc>
      </w:tr>
      <w:tr w14:paraId="220C06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03BA62BE">
            <w:pPr>
              <w:pStyle w:val="2"/>
              <w:widowControl/>
              <w:wordWrap w:val="0"/>
              <w:spacing w:beforeAutospacing="0" w:afterAutospacing="0" w:line="315" w:lineRule="atLeast"/>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75" w:type="dxa"/>
              <w:right w:w="75" w:type="dxa"/>
            </w:tcMar>
            <w:vAlign w:val="center"/>
          </w:tcPr>
          <w:p w14:paraId="7EFECECB">
            <w:pPr>
              <w:pStyle w:val="2"/>
              <w:widowControl/>
              <w:wordWrap w:val="0"/>
              <w:spacing w:beforeAutospacing="0" w:afterAutospacing="0" w:line="315" w:lineRule="atLeast"/>
              <w:jc w:val="center"/>
            </w:pPr>
            <w:r>
              <w:rPr>
                <w:rFonts w:hint="eastAsia" w:ascii="仿宋_GB2312" w:eastAsia="仿宋_GB2312" w:cs="仿宋_GB2312"/>
                <w:sz w:val="21"/>
                <w:szCs w:val="21"/>
              </w:rPr>
              <w:t>本年收费金额（单位：万元）</w:t>
            </w:r>
          </w:p>
        </w:tc>
      </w:tr>
      <w:tr w14:paraId="767957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34A1CF66">
            <w:pPr>
              <w:pStyle w:val="2"/>
              <w:widowControl/>
              <w:wordWrap w:val="0"/>
              <w:spacing w:beforeAutospacing="0" w:afterAutospacing="0" w:line="315" w:lineRule="atLeast"/>
            </w:pPr>
            <w:r>
              <w:rPr>
                <w:rFonts w:hint="eastAsia" w:ascii="仿宋_GB2312" w:eastAsia="仿宋_GB2312" w:cs="仿宋_GB2312"/>
                <w:sz w:val="21"/>
                <w:szCs w:val="21"/>
              </w:rPr>
              <w:t>行政事业性收费</w:t>
            </w:r>
          </w:p>
        </w:tc>
        <w:tc>
          <w:tcPr>
            <w:tcW w:w="6615" w:type="dxa"/>
            <w:gridSpan w:val="3"/>
            <w:tcBorders>
              <w:top w:val="nil"/>
              <w:left w:val="nil"/>
              <w:bottom w:val="outset" w:color="auto" w:sz="6" w:space="0"/>
              <w:right w:val="single" w:color="000000" w:sz="6" w:space="0"/>
            </w:tcBorders>
            <w:shd w:val="clear" w:color="auto" w:fill="auto"/>
            <w:tcMar>
              <w:left w:w="75" w:type="dxa"/>
              <w:right w:w="75" w:type="dxa"/>
            </w:tcMar>
            <w:vAlign w:val="center"/>
          </w:tcPr>
          <w:p w14:paraId="01F82034">
            <w:pPr>
              <w:pStyle w:val="2"/>
              <w:widowControl/>
              <w:wordWrap w:val="0"/>
              <w:spacing w:beforeAutospacing="0" w:afterAutospacing="0" w:line="315" w:lineRule="atLeast"/>
              <w:jc w:val="center"/>
            </w:pPr>
            <w:r>
              <w:rPr>
                <w:rFonts w:hint="eastAsia" w:ascii="仿宋_GB2312" w:eastAsia="仿宋_GB2312" w:cs="仿宋_GB2312"/>
                <w:sz w:val="21"/>
                <w:szCs w:val="21"/>
              </w:rPr>
              <w:t>0</w:t>
            </w:r>
          </w:p>
        </w:tc>
      </w:tr>
    </w:tbl>
    <w:p w14:paraId="4BB77A9D">
      <w:pPr>
        <w:pStyle w:val="2"/>
        <w:widowControl/>
        <w:spacing w:beforeAutospacing="0" w:afterAutospacing="0" w:line="560" w:lineRule="exact"/>
        <w:ind w:firstLine="420"/>
        <w:rPr>
          <w:sz w:val="32"/>
          <w:szCs w:val="32"/>
        </w:rPr>
      </w:pPr>
      <w:r>
        <w:rPr>
          <w:rFonts w:hint="eastAsia" w:ascii="黑体" w:hAnsi="宋体" w:eastAsia="黑体" w:cs="黑体"/>
          <w:sz w:val="32"/>
          <w:szCs w:val="32"/>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627"/>
        <w:gridCol w:w="1533"/>
        <w:gridCol w:w="2640"/>
        <w:gridCol w:w="751"/>
        <w:gridCol w:w="530"/>
        <w:gridCol w:w="530"/>
        <w:gridCol w:w="675"/>
        <w:gridCol w:w="646"/>
        <w:gridCol w:w="530"/>
        <w:gridCol w:w="418"/>
      </w:tblGrid>
      <w:tr w14:paraId="67DDC9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4905"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14:paraId="4E74EA31">
            <w:pPr>
              <w:pStyle w:val="2"/>
              <w:widowControl/>
              <w:wordWrap w:val="0"/>
              <w:spacing w:beforeAutospacing="0" w:afterAutospacing="0" w:line="315" w:lineRule="atLeast"/>
              <w:jc w:val="center"/>
            </w:pPr>
            <w:r>
              <w:rPr>
                <w:rFonts w:hint="eastAsia" w:ascii="楷体_GB2312" w:eastAsia="楷体_GB2312" w:cs="楷体_GB2312"/>
                <w:sz w:val="21"/>
                <w:szCs w:val="21"/>
              </w:rPr>
              <w:t>（本列数据的勾稽关系为：第一项加第二项之和，</w:t>
            </w:r>
          </w:p>
          <w:p w14:paraId="7233A1F0">
            <w:pPr>
              <w:pStyle w:val="2"/>
              <w:widowControl/>
              <w:wordWrap w:val="0"/>
              <w:spacing w:beforeAutospacing="0" w:afterAutospacing="0" w:line="315" w:lineRule="atLeast"/>
              <w:jc w:val="center"/>
            </w:pPr>
            <w:r>
              <w:rPr>
                <w:rFonts w:hint="eastAsia" w:ascii="楷体_GB2312" w:eastAsia="楷体_GB2312" w:cs="楷体_GB2312"/>
                <w:sz w:val="21"/>
                <w:szCs w:val="21"/>
              </w:rPr>
              <w:t>等于第三项加第四项之和）</w:t>
            </w:r>
          </w:p>
        </w:tc>
        <w:tc>
          <w:tcPr>
            <w:tcW w:w="4140" w:type="dxa"/>
            <w:gridSpan w:val="7"/>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4E619535">
            <w:pPr>
              <w:pStyle w:val="2"/>
              <w:widowControl/>
              <w:wordWrap w:val="0"/>
              <w:spacing w:beforeAutospacing="0" w:afterAutospacing="0" w:line="315" w:lineRule="atLeast"/>
              <w:jc w:val="center"/>
            </w:pPr>
            <w:r>
              <w:rPr>
                <w:rFonts w:hint="eastAsia" w:ascii="黑体" w:hAnsi="宋体" w:eastAsia="黑体" w:cs="黑体"/>
                <w:sz w:val="21"/>
                <w:szCs w:val="21"/>
              </w:rPr>
              <w:t>申请人情况</w:t>
            </w:r>
          </w:p>
        </w:tc>
      </w:tr>
      <w:tr w14:paraId="7A134B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490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14:paraId="334E2A51">
            <w:pPr>
              <w:rPr>
                <w:rFonts w:ascii="宋体"/>
                <w:sz w:val="24"/>
              </w:rPr>
            </w:pPr>
          </w:p>
        </w:tc>
        <w:tc>
          <w:tcPr>
            <w:tcW w:w="765" w:type="dxa"/>
            <w:vMerge w:val="restart"/>
            <w:tcBorders>
              <w:top w:val="nil"/>
              <w:left w:val="nil"/>
              <w:bottom w:val="outset" w:color="auto" w:sz="6" w:space="0"/>
              <w:right w:val="outset" w:color="auto" w:sz="6" w:space="0"/>
            </w:tcBorders>
            <w:shd w:val="clear" w:color="auto" w:fill="auto"/>
            <w:tcMar>
              <w:left w:w="75" w:type="dxa"/>
              <w:right w:w="75" w:type="dxa"/>
            </w:tcMar>
            <w:vAlign w:val="center"/>
          </w:tcPr>
          <w:p w14:paraId="220CF28A">
            <w:pPr>
              <w:pStyle w:val="2"/>
              <w:widowControl/>
              <w:wordWrap w:val="0"/>
              <w:spacing w:beforeAutospacing="0" w:afterAutospacing="0" w:line="315" w:lineRule="atLeast"/>
              <w:jc w:val="center"/>
            </w:pPr>
            <w:r>
              <w:rPr>
                <w:rFonts w:hint="eastAsia" w:ascii="黑体" w:hAnsi="宋体" w:eastAsia="黑体" w:cs="黑体"/>
                <w:sz w:val="21"/>
                <w:szCs w:val="21"/>
              </w:rPr>
              <w:t>自然人</w:t>
            </w:r>
          </w:p>
        </w:tc>
        <w:tc>
          <w:tcPr>
            <w:tcW w:w="2955" w:type="dxa"/>
            <w:gridSpan w:val="5"/>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48A3DDFA">
            <w:pPr>
              <w:pStyle w:val="2"/>
              <w:widowControl/>
              <w:wordWrap w:val="0"/>
              <w:spacing w:beforeAutospacing="0" w:afterAutospacing="0" w:line="315" w:lineRule="atLeast"/>
              <w:jc w:val="center"/>
            </w:pPr>
            <w:r>
              <w:rPr>
                <w:rFonts w:hint="eastAsia" w:ascii="黑体" w:hAnsi="宋体" w:eastAsia="黑体" w:cs="黑体"/>
                <w:sz w:val="21"/>
                <w:szCs w:val="21"/>
              </w:rPr>
              <w:t>法人或其他组织</w:t>
            </w:r>
          </w:p>
        </w:tc>
        <w:tc>
          <w:tcPr>
            <w:tcW w:w="420" w:type="dxa"/>
            <w:vMerge w:val="restart"/>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01A7A96C">
            <w:pPr>
              <w:pStyle w:val="2"/>
              <w:widowControl/>
              <w:wordWrap w:val="0"/>
              <w:spacing w:beforeAutospacing="0" w:afterAutospacing="0" w:line="315" w:lineRule="atLeast"/>
              <w:jc w:val="center"/>
            </w:pPr>
            <w:r>
              <w:rPr>
                <w:rFonts w:hint="eastAsia" w:ascii="黑体" w:hAnsi="宋体" w:eastAsia="黑体" w:cs="黑体"/>
                <w:sz w:val="21"/>
                <w:szCs w:val="21"/>
              </w:rPr>
              <w:t>总计</w:t>
            </w:r>
          </w:p>
        </w:tc>
      </w:tr>
      <w:tr w14:paraId="407CBA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jc w:val="center"/>
        </w:trPr>
        <w:tc>
          <w:tcPr>
            <w:tcW w:w="490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14:paraId="2272A399">
            <w:pPr>
              <w:rPr>
                <w:rFonts w:ascii="宋体"/>
                <w:sz w:val="24"/>
              </w:rPr>
            </w:pPr>
          </w:p>
        </w:tc>
        <w:tc>
          <w:tcPr>
            <w:tcW w:w="765"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20B74020">
            <w:pPr>
              <w:rPr>
                <w:rFonts w:ascii="宋体"/>
                <w:sz w:val="24"/>
              </w:rPr>
            </w:pP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AC0DCFF">
            <w:pPr>
              <w:pStyle w:val="2"/>
              <w:widowControl/>
              <w:wordWrap w:val="0"/>
              <w:spacing w:beforeAutospacing="0" w:afterAutospacing="0" w:line="315" w:lineRule="atLeast"/>
              <w:ind w:left="-105" w:right="-105"/>
              <w:jc w:val="center"/>
            </w:pPr>
            <w:r>
              <w:rPr>
                <w:rFonts w:hint="eastAsia" w:ascii="黑体" w:hAnsi="宋体" w:eastAsia="黑体" w:cs="黑体"/>
                <w:sz w:val="21"/>
                <w:szCs w:val="21"/>
              </w:rPr>
              <w:t>商业企业</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5965D74B">
            <w:pPr>
              <w:pStyle w:val="2"/>
              <w:widowControl/>
              <w:wordWrap w:val="0"/>
              <w:spacing w:beforeAutospacing="0" w:afterAutospacing="0" w:line="315" w:lineRule="atLeast"/>
              <w:ind w:left="-105" w:right="-105"/>
              <w:jc w:val="center"/>
            </w:pPr>
            <w:r>
              <w:rPr>
                <w:rFonts w:hint="eastAsia" w:ascii="黑体" w:hAnsi="宋体" w:eastAsia="黑体" w:cs="黑体"/>
                <w:sz w:val="21"/>
                <w:szCs w:val="21"/>
              </w:rPr>
              <w:t>科研机构</w:t>
            </w:r>
          </w:p>
        </w:tc>
        <w:tc>
          <w:tcPr>
            <w:tcW w:w="69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13BDA681">
            <w:pPr>
              <w:pStyle w:val="2"/>
              <w:widowControl/>
              <w:wordWrap w:val="0"/>
              <w:spacing w:beforeAutospacing="0" w:afterAutospacing="0" w:line="315" w:lineRule="atLeast"/>
              <w:ind w:left="-105" w:right="-105"/>
              <w:jc w:val="center"/>
            </w:pPr>
            <w:r>
              <w:rPr>
                <w:rFonts w:hint="eastAsia" w:ascii="黑体" w:hAnsi="宋体" w:eastAsia="黑体" w:cs="黑体"/>
                <w:sz w:val="21"/>
                <w:szCs w:val="21"/>
              </w:rPr>
              <w:t>社会公益组织</w:t>
            </w:r>
          </w:p>
        </w:tc>
        <w:tc>
          <w:tcPr>
            <w:tcW w:w="66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070FEAD0">
            <w:pPr>
              <w:pStyle w:val="2"/>
              <w:widowControl/>
              <w:wordWrap w:val="0"/>
              <w:spacing w:beforeAutospacing="0" w:afterAutospacing="0" w:line="315" w:lineRule="atLeast"/>
              <w:ind w:left="-105" w:right="-105"/>
              <w:jc w:val="center"/>
            </w:pPr>
            <w:r>
              <w:rPr>
                <w:rFonts w:hint="eastAsia" w:ascii="黑体" w:hAnsi="宋体" w:eastAsia="黑体" w:cs="黑体"/>
                <w:sz w:val="21"/>
                <w:szCs w:val="21"/>
              </w:rPr>
              <w:t>法律服务机构</w:t>
            </w:r>
          </w:p>
        </w:tc>
        <w:tc>
          <w:tcPr>
            <w:tcW w:w="54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46315F0B">
            <w:pPr>
              <w:pStyle w:val="2"/>
              <w:widowControl/>
              <w:wordWrap w:val="0"/>
              <w:spacing w:beforeAutospacing="0" w:afterAutospacing="0" w:line="360" w:lineRule="atLeast"/>
              <w:ind w:left="-60" w:right="-135"/>
              <w:jc w:val="center"/>
            </w:pPr>
            <w:r>
              <w:rPr>
                <w:rFonts w:hint="eastAsia" w:ascii="黑体" w:hAnsi="宋体" w:eastAsia="黑体" w:cs="黑体"/>
                <w:sz w:val="21"/>
                <w:szCs w:val="21"/>
              </w:rPr>
              <w:t>其他</w:t>
            </w:r>
          </w:p>
        </w:tc>
        <w:tc>
          <w:tcPr>
            <w:tcW w:w="420" w:type="dxa"/>
            <w:vMerge w:val="continue"/>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0A3D1BAD">
            <w:pPr>
              <w:rPr>
                <w:rFonts w:ascii="宋体"/>
                <w:sz w:val="24"/>
              </w:rPr>
            </w:pPr>
          </w:p>
        </w:tc>
      </w:tr>
      <w:tr w14:paraId="5E4BD5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jc w:val="center"/>
        </w:trPr>
        <w:tc>
          <w:tcPr>
            <w:tcW w:w="4905" w:type="dxa"/>
            <w:gridSpan w:val="3"/>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5D71563D">
            <w:pPr>
              <w:pStyle w:val="2"/>
              <w:widowControl/>
              <w:wordWrap w:val="0"/>
              <w:spacing w:beforeAutospacing="0" w:afterAutospacing="0" w:line="315" w:lineRule="atLeast"/>
            </w:pPr>
            <w:r>
              <w:rPr>
                <w:rFonts w:hint="eastAsia" w:ascii="黑体" w:hAnsi="宋体" w:eastAsia="黑体" w:cs="黑体"/>
                <w:sz w:val="21"/>
                <w:szCs w:val="21"/>
              </w:rPr>
              <w:t>一、</w:t>
            </w:r>
            <w:bookmarkStart w:id="0" w:name="_Hlk66973412"/>
            <w:r>
              <w:rPr>
                <w:rFonts w:hint="eastAsia" w:ascii="黑体" w:hAnsi="宋体" w:eastAsia="黑体" w:cs="黑体"/>
                <w:sz w:val="21"/>
                <w:szCs w:val="21"/>
              </w:rPr>
              <w:t>本年新收政府信息公开申请数量</w:t>
            </w:r>
            <w:bookmarkEnd w:id="0"/>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087F714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8BBC7A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882F361">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03DEA3C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1A9F7B6E">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DAA89D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7894F28C">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24770C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jc w:val="center"/>
        </w:trPr>
        <w:tc>
          <w:tcPr>
            <w:tcW w:w="4905" w:type="dxa"/>
            <w:gridSpan w:val="3"/>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0130BF65">
            <w:pPr>
              <w:pStyle w:val="2"/>
              <w:widowControl/>
              <w:wordWrap w:val="0"/>
              <w:spacing w:beforeAutospacing="0" w:afterAutospacing="0" w:line="315" w:lineRule="atLeast"/>
            </w:pPr>
            <w:r>
              <w:rPr>
                <w:rFonts w:hint="eastAsia" w:ascii="黑体" w:hAnsi="宋体" w:eastAsia="黑体" w:cs="黑体"/>
                <w:sz w:val="21"/>
                <w:szCs w:val="21"/>
              </w:rPr>
              <w:t>二、上年结转政府信息公开申请数量</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59E80895">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54BC87E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3304F6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734DDFA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1286206C">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0734E4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1AE9BDC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7F0892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restart"/>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2A59DDC7">
            <w:pPr>
              <w:pStyle w:val="2"/>
              <w:widowControl/>
              <w:wordWrap w:val="0"/>
              <w:spacing w:beforeAutospacing="0" w:after="180" w:afterAutospacing="0" w:line="315" w:lineRule="atLeast"/>
            </w:pPr>
            <w:r>
              <w:rPr>
                <w:rFonts w:hint="eastAsia" w:ascii="黑体" w:hAnsi="宋体" w:eastAsia="黑体" w:cs="黑体"/>
                <w:sz w:val="21"/>
                <w:szCs w:val="21"/>
              </w:rPr>
              <w:t>三、本年度办理结果</w:t>
            </w:r>
          </w:p>
        </w:tc>
        <w:tc>
          <w:tcPr>
            <w:tcW w:w="4275" w:type="dxa"/>
            <w:gridSpan w:val="2"/>
            <w:tcBorders>
              <w:top w:val="nil"/>
              <w:left w:val="nil"/>
              <w:bottom w:val="outset" w:color="auto" w:sz="6" w:space="0"/>
              <w:right w:val="outset" w:color="auto" w:sz="6" w:space="0"/>
            </w:tcBorders>
            <w:shd w:val="clear" w:color="auto" w:fill="auto"/>
            <w:tcMar>
              <w:left w:w="75" w:type="dxa"/>
              <w:right w:w="75" w:type="dxa"/>
            </w:tcMar>
            <w:vAlign w:val="center"/>
          </w:tcPr>
          <w:p w14:paraId="0D7B66FC">
            <w:pPr>
              <w:pStyle w:val="2"/>
              <w:widowControl/>
              <w:wordWrap w:val="0"/>
              <w:spacing w:beforeAutospacing="0" w:afterAutospacing="0" w:line="315" w:lineRule="atLeast"/>
            </w:pPr>
            <w:r>
              <w:rPr>
                <w:rFonts w:hint="eastAsia" w:ascii="黑体" w:hAnsi="宋体" w:eastAsia="黑体" w:cs="黑体"/>
                <w:sz w:val="21"/>
                <w:szCs w:val="21"/>
              </w:rPr>
              <w:t>（一）予以公开</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5A8E09A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2F5C28F">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510CBD8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28415CD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186D252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B75C3EC">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6C102A8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2E0329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4C3A1207">
            <w:pPr>
              <w:rPr>
                <w:rFonts w:ascii="宋体"/>
                <w:sz w:val="24"/>
              </w:rPr>
            </w:pPr>
          </w:p>
        </w:tc>
        <w:tc>
          <w:tcPr>
            <w:tcW w:w="4275" w:type="dxa"/>
            <w:gridSpan w:val="2"/>
            <w:tcBorders>
              <w:top w:val="nil"/>
              <w:left w:val="nil"/>
              <w:bottom w:val="outset" w:color="auto" w:sz="6" w:space="0"/>
              <w:right w:val="outset" w:color="auto" w:sz="6" w:space="0"/>
            </w:tcBorders>
            <w:shd w:val="clear" w:color="auto" w:fill="auto"/>
            <w:tcMar>
              <w:left w:w="75" w:type="dxa"/>
              <w:right w:w="75" w:type="dxa"/>
            </w:tcMar>
            <w:vAlign w:val="center"/>
          </w:tcPr>
          <w:p w14:paraId="373FEE4B">
            <w:pPr>
              <w:pStyle w:val="2"/>
              <w:widowControl/>
              <w:wordWrap w:val="0"/>
              <w:spacing w:beforeAutospacing="0" w:afterAutospacing="0" w:line="315" w:lineRule="atLeast"/>
            </w:pPr>
            <w:r>
              <w:rPr>
                <w:rFonts w:hint="eastAsia" w:ascii="黑体" w:hAnsi="宋体" w:eastAsia="黑体" w:cs="黑体"/>
                <w:sz w:val="21"/>
                <w:szCs w:val="21"/>
              </w:rPr>
              <w:t>（二）部分公开（</w:t>
            </w:r>
            <w:bookmarkStart w:id="1" w:name="_Hlk66973981"/>
            <w:r>
              <w:rPr>
                <w:rFonts w:hint="eastAsia" w:ascii="黑体" w:hAnsi="宋体" w:eastAsia="黑体" w:cs="黑体"/>
                <w:sz w:val="21"/>
                <w:szCs w:val="21"/>
              </w:rPr>
              <w:t>区分处理的，只计这一情形，不计其他情形</w:t>
            </w:r>
            <w:bookmarkEnd w:id="1"/>
            <w:r>
              <w:rPr>
                <w:rFonts w:hint="eastAsia" w:ascii="黑体" w:hAnsi="宋体" w:eastAsia="黑体" w:cs="黑体"/>
                <w:sz w:val="21"/>
                <w:szCs w:val="21"/>
              </w:rPr>
              <w:t>）</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553FF90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3406995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477C87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658AACD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788CAC8C">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589B835">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4D2C506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098C9F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45897AF8">
            <w:pPr>
              <w:rPr>
                <w:rFonts w:ascii="宋体"/>
                <w:sz w:val="24"/>
              </w:rPr>
            </w:pPr>
          </w:p>
        </w:tc>
        <w:tc>
          <w:tcPr>
            <w:tcW w:w="1560" w:type="dxa"/>
            <w:vMerge w:val="restart"/>
            <w:tcBorders>
              <w:top w:val="nil"/>
              <w:left w:val="nil"/>
              <w:bottom w:val="outset" w:color="auto" w:sz="6" w:space="0"/>
              <w:right w:val="outset" w:color="auto" w:sz="6" w:space="0"/>
            </w:tcBorders>
            <w:shd w:val="clear" w:color="auto" w:fill="auto"/>
            <w:tcMar>
              <w:left w:w="75" w:type="dxa"/>
              <w:right w:w="75" w:type="dxa"/>
            </w:tcMar>
            <w:vAlign w:val="center"/>
          </w:tcPr>
          <w:p w14:paraId="47F95A83">
            <w:pPr>
              <w:pStyle w:val="2"/>
              <w:widowControl/>
              <w:wordWrap w:val="0"/>
              <w:spacing w:beforeAutospacing="0" w:afterAutospacing="0" w:line="315" w:lineRule="atLeast"/>
              <w:ind w:left="-105"/>
            </w:pPr>
            <w:r>
              <w:rPr>
                <w:rFonts w:hint="eastAsia" w:ascii="黑体" w:hAnsi="宋体" w:eastAsia="黑体" w:cs="黑体"/>
                <w:sz w:val="21"/>
                <w:szCs w:val="21"/>
              </w:rPr>
              <w:t>（三）不予公开</w:t>
            </w: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0562104E">
            <w:pPr>
              <w:pStyle w:val="2"/>
              <w:widowControl/>
              <w:wordWrap w:val="0"/>
              <w:spacing w:beforeAutospacing="0" w:afterAutospacing="0" w:line="315" w:lineRule="atLeast"/>
            </w:pPr>
            <w:r>
              <w:rPr>
                <w:rFonts w:hint="eastAsia" w:ascii="仿宋_GB2312" w:eastAsia="仿宋_GB2312" w:cs="仿宋_GB2312"/>
                <w:sz w:val="21"/>
                <w:szCs w:val="21"/>
              </w:rPr>
              <w:t>1.属于国家秘密</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456E14F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15A703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A776895">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77280C9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2283DB2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E5CB72C">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66D4D66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66EA07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386064B2">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21514118">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7D1964B1">
            <w:pPr>
              <w:pStyle w:val="2"/>
              <w:widowControl/>
              <w:wordWrap w:val="0"/>
              <w:spacing w:beforeAutospacing="0" w:afterAutospacing="0" w:line="315" w:lineRule="atLeast"/>
            </w:pPr>
            <w:r>
              <w:rPr>
                <w:rFonts w:hint="eastAsia" w:ascii="仿宋_GB2312" w:eastAsia="仿宋_GB2312" w:cs="仿宋_GB2312"/>
                <w:sz w:val="21"/>
                <w:szCs w:val="21"/>
              </w:rPr>
              <w:t>2.</w:t>
            </w:r>
            <w:bookmarkStart w:id="2" w:name="_Hlk66974104"/>
            <w:r>
              <w:rPr>
                <w:rFonts w:hint="eastAsia" w:ascii="仿宋_GB2312" w:eastAsia="仿宋_GB2312" w:cs="仿宋_GB2312"/>
                <w:sz w:val="21"/>
                <w:szCs w:val="21"/>
              </w:rPr>
              <w:t>其他法律行政法规禁止公开</w:t>
            </w:r>
            <w:bookmarkEnd w:id="2"/>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4ABBE4D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7C76A0F">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A0123C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761C53C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0FFDCCA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87633C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396DB11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6C01A9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2678646C">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2049C57B">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3A91FF6F">
            <w:pPr>
              <w:pStyle w:val="2"/>
              <w:widowControl/>
              <w:wordWrap w:val="0"/>
              <w:spacing w:beforeAutospacing="0" w:afterAutospacing="0" w:line="315" w:lineRule="atLeast"/>
            </w:pPr>
            <w:r>
              <w:rPr>
                <w:rFonts w:hint="eastAsia" w:ascii="仿宋_GB2312" w:eastAsia="仿宋_GB2312" w:cs="仿宋_GB2312"/>
                <w:sz w:val="21"/>
                <w:szCs w:val="21"/>
              </w:rPr>
              <w:t>3.危及“三安全一稳定”</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7C09F75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B71128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C4C103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465CCE21">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0235087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22B461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3DEA3B7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0C8199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3E2E20C7">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718877CD">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2EDA8199">
            <w:pPr>
              <w:pStyle w:val="2"/>
              <w:widowControl/>
              <w:wordWrap w:val="0"/>
              <w:spacing w:beforeAutospacing="0" w:afterAutospacing="0" w:line="315" w:lineRule="atLeast"/>
            </w:pPr>
            <w:r>
              <w:rPr>
                <w:rFonts w:hint="eastAsia" w:ascii="仿宋_GB2312" w:eastAsia="仿宋_GB2312" w:cs="仿宋_GB2312"/>
                <w:sz w:val="21"/>
                <w:szCs w:val="21"/>
              </w:rPr>
              <w:t>4.</w:t>
            </w:r>
            <w:bookmarkStart w:id="3" w:name="_Hlk66974290"/>
            <w:r>
              <w:rPr>
                <w:rFonts w:hint="eastAsia" w:ascii="仿宋_GB2312" w:eastAsia="仿宋_GB2312" w:cs="仿宋_GB2312"/>
                <w:sz w:val="21"/>
                <w:szCs w:val="21"/>
              </w:rPr>
              <w:t>保护第三方合法权益</w:t>
            </w:r>
            <w:bookmarkEnd w:id="3"/>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0E75C505">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A5C529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84CD2A1">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6636621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3164B3D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2AD123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073082E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39BACD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1D0F41AC">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261258E6">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6B6A0765">
            <w:pPr>
              <w:pStyle w:val="2"/>
              <w:widowControl/>
              <w:wordWrap w:val="0"/>
              <w:spacing w:beforeAutospacing="0" w:afterAutospacing="0" w:line="315" w:lineRule="atLeast"/>
            </w:pPr>
            <w:r>
              <w:rPr>
                <w:rFonts w:hint="eastAsia" w:ascii="仿宋_GB2312" w:eastAsia="仿宋_GB2312" w:cs="仿宋_GB2312"/>
                <w:sz w:val="21"/>
                <w:szCs w:val="21"/>
              </w:rPr>
              <w:t>5.属于三类内部事务信息</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7042949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D35CBCF">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3A47F0F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64F4F65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0B7FCF8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CC47E8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2E72172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24D669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564BA95F">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231E24FF">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4250EBD7">
            <w:pPr>
              <w:pStyle w:val="2"/>
              <w:widowControl/>
              <w:wordWrap w:val="0"/>
              <w:spacing w:beforeAutospacing="0" w:afterAutospacing="0" w:line="315" w:lineRule="atLeast"/>
            </w:pPr>
            <w:r>
              <w:rPr>
                <w:rFonts w:hint="eastAsia" w:ascii="仿宋_GB2312" w:eastAsia="仿宋_GB2312" w:cs="仿宋_GB2312"/>
                <w:sz w:val="21"/>
                <w:szCs w:val="21"/>
              </w:rPr>
              <w:t>6.</w:t>
            </w:r>
            <w:bookmarkStart w:id="4" w:name="_Hlk66974555"/>
            <w:r>
              <w:rPr>
                <w:rFonts w:hint="eastAsia" w:ascii="仿宋_GB2312" w:eastAsia="仿宋_GB2312" w:cs="仿宋_GB2312"/>
                <w:sz w:val="21"/>
                <w:szCs w:val="21"/>
              </w:rPr>
              <w:t>属于四类过程性信息</w:t>
            </w:r>
            <w:bookmarkEnd w:id="4"/>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6596AFB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31AC2C1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E645EB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1A4F01A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1BDC400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0A5AA3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0EDC975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690520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2083460D">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6CF0020E">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158837C9">
            <w:pPr>
              <w:pStyle w:val="2"/>
              <w:widowControl/>
              <w:wordWrap w:val="0"/>
              <w:spacing w:beforeAutospacing="0" w:afterAutospacing="0" w:line="315" w:lineRule="atLeast"/>
            </w:pPr>
            <w:r>
              <w:rPr>
                <w:rFonts w:hint="eastAsia" w:ascii="仿宋_GB2312" w:eastAsia="仿宋_GB2312" w:cs="仿宋_GB2312"/>
                <w:sz w:val="21"/>
                <w:szCs w:val="21"/>
              </w:rPr>
              <w:t>7.属于行政执法案卷</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2B7C979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30E420F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0B2E2B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390DE25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5915200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17FAFD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232636C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42D275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0DE3C7CE">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5D07C12F">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39F6D19E">
            <w:pPr>
              <w:pStyle w:val="2"/>
              <w:widowControl/>
              <w:wordWrap w:val="0"/>
              <w:spacing w:beforeAutospacing="0" w:afterAutospacing="0" w:line="315" w:lineRule="atLeast"/>
            </w:pPr>
            <w:r>
              <w:rPr>
                <w:rFonts w:hint="eastAsia" w:ascii="仿宋_GB2312" w:eastAsia="仿宋_GB2312" w:cs="仿宋_GB2312"/>
                <w:sz w:val="21"/>
                <w:szCs w:val="21"/>
              </w:rPr>
              <w:t>8.</w:t>
            </w:r>
            <w:bookmarkStart w:id="5" w:name="_Hlk66975211"/>
            <w:r>
              <w:rPr>
                <w:rFonts w:hint="eastAsia" w:ascii="仿宋_GB2312" w:eastAsia="仿宋_GB2312" w:cs="仿宋_GB2312"/>
                <w:sz w:val="21"/>
                <w:szCs w:val="21"/>
              </w:rPr>
              <w:t>属于行政查询事项</w:t>
            </w:r>
            <w:bookmarkEnd w:id="5"/>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77257BF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131090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7B4D79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7EE3B85F">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603B538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3AE3F9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04BA552E">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2B2A7C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1BBB8B11">
            <w:pPr>
              <w:rPr>
                <w:rFonts w:ascii="宋体"/>
                <w:sz w:val="24"/>
              </w:rPr>
            </w:pPr>
          </w:p>
        </w:tc>
        <w:tc>
          <w:tcPr>
            <w:tcW w:w="1560" w:type="dxa"/>
            <w:vMerge w:val="restart"/>
            <w:tcBorders>
              <w:top w:val="nil"/>
              <w:left w:val="nil"/>
              <w:bottom w:val="outset" w:color="auto" w:sz="6" w:space="0"/>
              <w:right w:val="outset" w:color="auto" w:sz="6" w:space="0"/>
            </w:tcBorders>
            <w:shd w:val="clear" w:color="auto" w:fill="auto"/>
            <w:tcMar>
              <w:left w:w="75" w:type="dxa"/>
              <w:right w:w="75" w:type="dxa"/>
            </w:tcMar>
            <w:vAlign w:val="center"/>
          </w:tcPr>
          <w:p w14:paraId="5E4EE529">
            <w:pPr>
              <w:pStyle w:val="2"/>
              <w:widowControl/>
              <w:wordWrap w:val="0"/>
              <w:spacing w:beforeAutospacing="0" w:afterAutospacing="0" w:line="315" w:lineRule="atLeast"/>
              <w:ind w:left="-105"/>
            </w:pPr>
            <w:r>
              <w:rPr>
                <w:rFonts w:hint="eastAsia" w:ascii="黑体" w:hAnsi="宋体" w:eastAsia="黑体" w:cs="黑体"/>
                <w:sz w:val="21"/>
                <w:szCs w:val="21"/>
              </w:rPr>
              <w:t>（四）无法提供</w:t>
            </w: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1205717E">
            <w:pPr>
              <w:pStyle w:val="2"/>
              <w:widowControl/>
              <w:wordWrap w:val="0"/>
              <w:spacing w:beforeAutospacing="0" w:afterAutospacing="0" w:line="315" w:lineRule="atLeast"/>
            </w:pPr>
            <w:r>
              <w:rPr>
                <w:rFonts w:hint="eastAsia" w:ascii="仿宋_GB2312" w:eastAsia="仿宋_GB2312" w:cs="仿宋_GB2312"/>
                <w:sz w:val="21"/>
                <w:szCs w:val="21"/>
              </w:rPr>
              <w:t>1.本机关不掌握相关政府信息</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43708A11">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0D3E49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0EF663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4C8A531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0988BF7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B59626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2B9AA12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137705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297AD603">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33AC99CE">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1EE5A61A">
            <w:pPr>
              <w:pStyle w:val="2"/>
              <w:widowControl/>
              <w:wordWrap w:val="0"/>
              <w:spacing w:beforeAutospacing="0" w:afterAutospacing="0" w:line="315" w:lineRule="atLeast"/>
            </w:pPr>
            <w:r>
              <w:rPr>
                <w:rFonts w:hint="eastAsia" w:ascii="仿宋_GB2312" w:eastAsia="仿宋_GB2312" w:cs="仿宋_GB2312"/>
                <w:sz w:val="21"/>
                <w:szCs w:val="21"/>
              </w:rPr>
              <w:t>2.</w:t>
            </w:r>
            <w:bookmarkStart w:id="6" w:name="_Hlk66975392"/>
            <w:r>
              <w:rPr>
                <w:rFonts w:hint="eastAsia" w:ascii="仿宋_GB2312" w:eastAsia="仿宋_GB2312" w:cs="仿宋_GB2312"/>
                <w:sz w:val="21"/>
                <w:szCs w:val="21"/>
              </w:rPr>
              <w:t>没有现成信息需要另行制作</w:t>
            </w:r>
            <w:bookmarkEnd w:id="6"/>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327CA9B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8553A5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E0B170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0B91620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38637CC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9EA6C7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4B28943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3858CC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5EB78594">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4EC8324B">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2D0D2CC5">
            <w:pPr>
              <w:pStyle w:val="2"/>
              <w:widowControl/>
              <w:wordWrap w:val="0"/>
              <w:spacing w:beforeAutospacing="0" w:afterAutospacing="0" w:line="315" w:lineRule="atLeast"/>
            </w:pPr>
            <w:r>
              <w:rPr>
                <w:rFonts w:hint="eastAsia" w:ascii="仿宋_GB2312" w:eastAsia="仿宋_GB2312" w:cs="仿宋_GB2312"/>
                <w:sz w:val="21"/>
                <w:szCs w:val="21"/>
              </w:rPr>
              <w:t>3.</w:t>
            </w:r>
            <w:bookmarkStart w:id="7" w:name="_Hlk66975466"/>
            <w:r>
              <w:rPr>
                <w:rFonts w:hint="eastAsia" w:ascii="仿宋_GB2312" w:eastAsia="仿宋_GB2312" w:cs="仿宋_GB2312"/>
                <w:sz w:val="21"/>
                <w:szCs w:val="21"/>
              </w:rPr>
              <w:t>补正后申请内容仍不明确</w:t>
            </w:r>
            <w:bookmarkEnd w:id="7"/>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65644D0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2BC5D9E">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A31C69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7D1B251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29885C8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2A9235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0E88970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16FAB8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5DD57DAF">
            <w:pPr>
              <w:rPr>
                <w:rFonts w:ascii="宋体"/>
                <w:sz w:val="24"/>
              </w:rPr>
            </w:pPr>
          </w:p>
        </w:tc>
        <w:tc>
          <w:tcPr>
            <w:tcW w:w="1560" w:type="dxa"/>
            <w:vMerge w:val="restart"/>
            <w:tcBorders>
              <w:top w:val="nil"/>
              <w:left w:val="nil"/>
              <w:bottom w:val="outset" w:color="auto" w:sz="6" w:space="0"/>
              <w:right w:val="outset" w:color="auto" w:sz="6" w:space="0"/>
            </w:tcBorders>
            <w:shd w:val="clear" w:color="auto" w:fill="auto"/>
            <w:tcMar>
              <w:left w:w="75" w:type="dxa"/>
              <w:right w:w="75" w:type="dxa"/>
            </w:tcMar>
            <w:vAlign w:val="center"/>
          </w:tcPr>
          <w:p w14:paraId="0B42A18D">
            <w:pPr>
              <w:pStyle w:val="2"/>
              <w:widowControl/>
              <w:wordWrap w:val="0"/>
              <w:spacing w:beforeAutospacing="0" w:afterAutospacing="0" w:line="315" w:lineRule="atLeast"/>
              <w:ind w:left="-105"/>
            </w:pPr>
            <w:r>
              <w:rPr>
                <w:rFonts w:hint="eastAsia" w:ascii="黑体" w:hAnsi="宋体" w:eastAsia="黑体" w:cs="黑体"/>
                <w:sz w:val="21"/>
                <w:szCs w:val="21"/>
              </w:rPr>
              <w:t>（五）不予处理</w:t>
            </w: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6C464F97">
            <w:pPr>
              <w:pStyle w:val="2"/>
              <w:widowControl/>
              <w:wordWrap w:val="0"/>
              <w:spacing w:beforeAutospacing="0" w:afterAutospacing="0" w:line="315" w:lineRule="atLeast"/>
            </w:pPr>
            <w:r>
              <w:rPr>
                <w:rFonts w:hint="eastAsia" w:ascii="仿宋_GB2312" w:eastAsia="仿宋_GB2312" w:cs="仿宋_GB2312"/>
                <w:sz w:val="21"/>
                <w:szCs w:val="21"/>
              </w:rPr>
              <w:t>1.</w:t>
            </w:r>
            <w:bookmarkStart w:id="8" w:name="_Hlk66975537"/>
            <w:r>
              <w:rPr>
                <w:rFonts w:hint="eastAsia" w:ascii="仿宋_GB2312" w:eastAsia="仿宋_GB2312" w:cs="仿宋_GB2312"/>
                <w:sz w:val="21"/>
                <w:szCs w:val="21"/>
              </w:rPr>
              <w:t>信访举报投诉类申请</w:t>
            </w:r>
            <w:bookmarkEnd w:id="8"/>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75DD706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503D543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61851B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2F3D2FB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5DEB283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098E461">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179FFC8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4178D2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22E990D1">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6D00834C">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3E05FEBC">
            <w:pPr>
              <w:pStyle w:val="2"/>
              <w:widowControl/>
              <w:wordWrap w:val="0"/>
              <w:spacing w:beforeAutospacing="0" w:afterAutospacing="0" w:line="315" w:lineRule="atLeast"/>
            </w:pPr>
            <w:r>
              <w:rPr>
                <w:rFonts w:hint="eastAsia" w:ascii="仿宋_GB2312" w:eastAsia="仿宋_GB2312" w:cs="仿宋_GB2312"/>
                <w:sz w:val="21"/>
                <w:szCs w:val="21"/>
              </w:rPr>
              <w:t>2.重复申请</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1CAB923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4BA282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B9F724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1CF9497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120B44D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450882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4DA92821">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487BD9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48D7FC57">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5F2B4600">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1F146016">
            <w:pPr>
              <w:pStyle w:val="2"/>
              <w:widowControl/>
              <w:wordWrap w:val="0"/>
              <w:spacing w:beforeAutospacing="0" w:afterAutospacing="0" w:line="315" w:lineRule="atLeast"/>
            </w:pPr>
            <w:r>
              <w:rPr>
                <w:rFonts w:hint="eastAsia" w:ascii="仿宋_GB2312" w:eastAsia="仿宋_GB2312" w:cs="仿宋_GB2312"/>
                <w:sz w:val="21"/>
                <w:szCs w:val="21"/>
              </w:rPr>
              <w:t>3.要求提供公开出版物</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7A526706">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72136FF">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024CCB8E">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1425EDA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652CCB0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5A6896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0A714E2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0FF4B4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36CE69E8">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10CE0948">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2D860EA1">
            <w:pPr>
              <w:pStyle w:val="2"/>
              <w:widowControl/>
              <w:wordWrap w:val="0"/>
              <w:spacing w:beforeAutospacing="0" w:afterAutospacing="0" w:line="315" w:lineRule="atLeast"/>
            </w:pPr>
            <w:r>
              <w:rPr>
                <w:rFonts w:hint="eastAsia" w:ascii="仿宋_GB2312" w:eastAsia="仿宋_GB2312" w:cs="仿宋_GB2312"/>
                <w:sz w:val="21"/>
                <w:szCs w:val="21"/>
              </w:rPr>
              <w:t>4.无正当理由大量反复申请</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3904054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607A3D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D98793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18E4B88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045A3391">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4A6336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5DDEB9F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13929D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2E9B22E5">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10691783">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42DEA13A">
            <w:pPr>
              <w:pStyle w:val="2"/>
              <w:widowControl/>
              <w:wordWrap w:val="0"/>
              <w:spacing w:beforeAutospacing="0" w:afterAutospacing="0" w:line="300" w:lineRule="atLeast"/>
            </w:pPr>
            <w:r>
              <w:rPr>
                <w:rFonts w:hint="eastAsia" w:ascii="仿宋_GB2312" w:eastAsia="仿宋_GB2312" w:cs="仿宋_GB2312"/>
                <w:sz w:val="21"/>
                <w:szCs w:val="21"/>
              </w:rPr>
              <w:t>5.要求行政机关确认或重新出具已获取信息</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7814349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40333C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854070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45866E2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7783AE45">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E9B3D1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350DA7E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649CC6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02323443">
            <w:pPr>
              <w:rPr>
                <w:rFonts w:ascii="宋体"/>
                <w:sz w:val="24"/>
              </w:rPr>
            </w:pPr>
          </w:p>
        </w:tc>
        <w:tc>
          <w:tcPr>
            <w:tcW w:w="1560" w:type="dxa"/>
            <w:vMerge w:val="restart"/>
            <w:tcBorders>
              <w:top w:val="nil"/>
              <w:left w:val="nil"/>
              <w:bottom w:val="outset" w:color="auto" w:sz="6" w:space="0"/>
              <w:right w:val="outset" w:color="auto" w:sz="6" w:space="0"/>
            </w:tcBorders>
            <w:shd w:val="clear" w:color="auto" w:fill="auto"/>
            <w:tcMar>
              <w:left w:w="75" w:type="dxa"/>
              <w:right w:w="75" w:type="dxa"/>
            </w:tcMar>
            <w:vAlign w:val="center"/>
          </w:tcPr>
          <w:p w14:paraId="76885E7F">
            <w:pPr>
              <w:pStyle w:val="2"/>
              <w:widowControl/>
              <w:wordWrap w:val="0"/>
              <w:spacing w:beforeAutospacing="0" w:afterAutospacing="0" w:line="300" w:lineRule="atLeast"/>
            </w:pPr>
            <w:r>
              <w:rPr>
                <w:rFonts w:hint="eastAsia" w:ascii="黑体" w:hAnsi="宋体" w:eastAsia="黑体" w:cs="黑体"/>
                <w:sz w:val="21"/>
                <w:szCs w:val="21"/>
              </w:rPr>
              <w:t>（六）其他处理</w:t>
            </w: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6B0D5270">
            <w:pPr>
              <w:pStyle w:val="2"/>
              <w:widowControl/>
              <w:wordWrap w:val="0"/>
              <w:spacing w:beforeAutospacing="0" w:afterAutospacing="0" w:line="300" w:lineRule="atLeast"/>
            </w:pPr>
            <w:r>
              <w:rPr>
                <w:rFonts w:hint="eastAsia" w:ascii="仿宋_GB2312" w:eastAsia="仿宋_GB2312" w:cs="仿宋_GB2312"/>
                <w:sz w:val="21"/>
                <w:szCs w:val="21"/>
              </w:rPr>
              <w:t>1.申请人无正当理由逾期不补正、行政机关不再处理其政府信息公开申请</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10F96CD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DA82C5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818E4A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4ACF01B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4A70F70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6FFCE5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6CD38CD5">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5677C1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081F3896">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205A344B">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7DDDE117">
            <w:pPr>
              <w:pStyle w:val="2"/>
              <w:widowControl/>
              <w:wordWrap w:val="0"/>
              <w:spacing w:beforeAutospacing="0" w:afterAutospacing="0" w:line="300" w:lineRule="atLeast"/>
            </w:pPr>
            <w:r>
              <w:rPr>
                <w:rFonts w:hint="eastAsia" w:ascii="仿宋_GB2312" w:eastAsia="仿宋_GB2312" w:cs="仿宋_GB2312"/>
                <w:sz w:val="21"/>
                <w:szCs w:val="21"/>
              </w:rPr>
              <w:t>2.申请人逾期未按收费通知要求缴纳费用、行政机关不再处理其政府信息公开申请</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1C0DEB3D">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3CB653F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6F76EF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072E2885">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6ABB45BE">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85BBFE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699A931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7937C3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744BC13E">
            <w:pPr>
              <w:rPr>
                <w:rFonts w:ascii="宋体"/>
                <w:sz w:val="24"/>
              </w:rPr>
            </w:pPr>
          </w:p>
        </w:tc>
        <w:tc>
          <w:tcPr>
            <w:tcW w:w="1560" w:type="dxa"/>
            <w:vMerge w:val="continue"/>
            <w:tcBorders>
              <w:top w:val="nil"/>
              <w:left w:val="nil"/>
              <w:bottom w:val="outset" w:color="auto" w:sz="6" w:space="0"/>
              <w:right w:val="outset" w:color="auto" w:sz="6" w:space="0"/>
            </w:tcBorders>
            <w:shd w:val="clear" w:color="auto" w:fill="auto"/>
            <w:tcMar>
              <w:left w:w="75" w:type="dxa"/>
              <w:right w:w="75" w:type="dxa"/>
            </w:tcMar>
            <w:vAlign w:val="center"/>
          </w:tcPr>
          <w:p w14:paraId="01625420">
            <w:pPr>
              <w:rPr>
                <w:rFonts w:ascii="宋体"/>
                <w:sz w:val="24"/>
              </w:rPr>
            </w:pPr>
          </w:p>
        </w:tc>
        <w:tc>
          <w:tcPr>
            <w:tcW w:w="2715" w:type="dxa"/>
            <w:tcBorders>
              <w:top w:val="nil"/>
              <w:left w:val="nil"/>
              <w:bottom w:val="outset" w:color="auto" w:sz="6" w:space="0"/>
              <w:right w:val="outset" w:color="auto" w:sz="6" w:space="0"/>
            </w:tcBorders>
            <w:shd w:val="clear" w:color="auto" w:fill="auto"/>
            <w:tcMar>
              <w:left w:w="75" w:type="dxa"/>
              <w:right w:w="75" w:type="dxa"/>
            </w:tcMar>
            <w:vAlign w:val="center"/>
          </w:tcPr>
          <w:p w14:paraId="5CBCCE86">
            <w:pPr>
              <w:pStyle w:val="2"/>
              <w:widowControl/>
              <w:wordWrap w:val="0"/>
              <w:spacing w:beforeAutospacing="0" w:afterAutospacing="0" w:line="300" w:lineRule="atLeast"/>
            </w:pPr>
            <w:r>
              <w:rPr>
                <w:rFonts w:hint="eastAsia" w:ascii="仿宋_GB2312" w:eastAsia="仿宋_GB2312" w:cs="仿宋_GB2312"/>
                <w:sz w:val="21"/>
                <w:szCs w:val="21"/>
              </w:rPr>
              <w:t>3.其他</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4EB915A5">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7599535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5C5FDAC">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62CF064F">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24DDED9F">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114EA10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70887977">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0840DF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3E70885E">
            <w:pPr>
              <w:rPr>
                <w:rFonts w:ascii="宋体"/>
                <w:sz w:val="24"/>
              </w:rPr>
            </w:pPr>
          </w:p>
        </w:tc>
        <w:tc>
          <w:tcPr>
            <w:tcW w:w="4275" w:type="dxa"/>
            <w:gridSpan w:val="2"/>
            <w:tcBorders>
              <w:top w:val="nil"/>
              <w:left w:val="nil"/>
              <w:bottom w:val="outset" w:color="auto" w:sz="6" w:space="0"/>
              <w:right w:val="outset" w:color="auto" w:sz="6" w:space="0"/>
            </w:tcBorders>
            <w:shd w:val="clear" w:color="auto" w:fill="auto"/>
            <w:tcMar>
              <w:left w:w="75" w:type="dxa"/>
              <w:right w:w="75" w:type="dxa"/>
            </w:tcMar>
            <w:vAlign w:val="center"/>
          </w:tcPr>
          <w:p w14:paraId="3784513C">
            <w:pPr>
              <w:pStyle w:val="2"/>
              <w:widowControl/>
              <w:wordWrap w:val="0"/>
              <w:spacing w:beforeAutospacing="0" w:afterAutospacing="0" w:line="300" w:lineRule="atLeast"/>
            </w:pPr>
            <w:r>
              <w:rPr>
                <w:rFonts w:hint="eastAsia" w:ascii="黑体" w:hAnsi="宋体" w:eastAsia="黑体" w:cs="黑体"/>
                <w:sz w:val="21"/>
                <w:szCs w:val="21"/>
              </w:rPr>
              <w:t>（七）总计</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4E1B9D0F">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A4F831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4A81459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2AE8C234">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7BBB185E">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3C7562B9">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18958D18">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r w14:paraId="3B8960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905" w:type="dxa"/>
            <w:gridSpan w:val="3"/>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14:paraId="022334CA">
            <w:pPr>
              <w:pStyle w:val="2"/>
              <w:widowControl/>
              <w:wordWrap w:val="0"/>
              <w:spacing w:beforeAutospacing="0" w:afterAutospacing="0" w:line="300" w:lineRule="atLeast"/>
            </w:pPr>
            <w:r>
              <w:rPr>
                <w:rFonts w:hint="eastAsia" w:ascii="黑体" w:hAnsi="宋体" w:eastAsia="黑体" w:cs="黑体"/>
                <w:sz w:val="21"/>
                <w:szCs w:val="21"/>
              </w:rPr>
              <w:t>四、结转下年度继续办理</w:t>
            </w:r>
          </w:p>
        </w:tc>
        <w:tc>
          <w:tcPr>
            <w:tcW w:w="765" w:type="dxa"/>
            <w:tcBorders>
              <w:top w:val="nil"/>
              <w:left w:val="nil"/>
              <w:bottom w:val="outset" w:color="auto" w:sz="6" w:space="0"/>
              <w:right w:val="outset" w:color="auto" w:sz="6" w:space="0"/>
            </w:tcBorders>
            <w:shd w:val="clear" w:color="auto" w:fill="auto"/>
            <w:tcMar>
              <w:left w:w="75" w:type="dxa"/>
              <w:right w:w="75" w:type="dxa"/>
            </w:tcMar>
            <w:vAlign w:val="center"/>
          </w:tcPr>
          <w:p w14:paraId="0B5189E0">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C8D3A4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25A87C42">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nil"/>
              <w:left w:val="nil"/>
              <w:bottom w:val="outset" w:color="auto" w:sz="6" w:space="0"/>
              <w:right w:val="outset" w:color="auto" w:sz="6" w:space="0"/>
            </w:tcBorders>
            <w:shd w:val="clear" w:color="auto" w:fill="auto"/>
            <w:tcMar>
              <w:left w:w="75" w:type="dxa"/>
              <w:right w:w="75" w:type="dxa"/>
            </w:tcMar>
            <w:vAlign w:val="center"/>
          </w:tcPr>
          <w:p w14:paraId="31948143">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nil"/>
              <w:left w:val="nil"/>
              <w:bottom w:val="outset" w:color="auto" w:sz="6" w:space="0"/>
              <w:right w:val="outset" w:color="auto" w:sz="6" w:space="0"/>
            </w:tcBorders>
            <w:shd w:val="clear" w:color="auto" w:fill="auto"/>
            <w:tcMar>
              <w:left w:w="75" w:type="dxa"/>
              <w:right w:w="75" w:type="dxa"/>
            </w:tcMar>
            <w:vAlign w:val="center"/>
          </w:tcPr>
          <w:p w14:paraId="656F1D8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nil"/>
              <w:left w:val="nil"/>
              <w:bottom w:val="outset" w:color="auto" w:sz="6" w:space="0"/>
              <w:right w:val="outset" w:color="auto" w:sz="6" w:space="0"/>
            </w:tcBorders>
            <w:shd w:val="clear" w:color="auto" w:fill="auto"/>
            <w:tcMar>
              <w:left w:w="75" w:type="dxa"/>
              <w:right w:w="75" w:type="dxa"/>
            </w:tcMar>
            <w:vAlign w:val="center"/>
          </w:tcPr>
          <w:p w14:paraId="685AD1CB">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nil"/>
              <w:left w:val="nil"/>
              <w:bottom w:val="outset" w:color="auto" w:sz="6" w:space="0"/>
              <w:right w:val="outset" w:color="auto" w:sz="6" w:space="0"/>
            </w:tcBorders>
            <w:shd w:val="clear" w:color="auto" w:fill="auto"/>
            <w:tcMar>
              <w:left w:w="75" w:type="dxa"/>
              <w:right w:w="75" w:type="dxa"/>
            </w:tcMar>
            <w:vAlign w:val="center"/>
          </w:tcPr>
          <w:p w14:paraId="241DA6AA">
            <w:pPr>
              <w:pStyle w:val="2"/>
              <w:widowControl/>
              <w:wordWrap w:val="0"/>
              <w:spacing w:beforeAutospacing="0" w:after="180" w:afterAutospacing="0" w:line="315" w:lineRule="atLeast"/>
              <w:jc w:val="center"/>
            </w:pPr>
            <w:r>
              <w:rPr>
                <w:rFonts w:hint="eastAsia" w:ascii="仿宋_GB2312" w:eastAsia="仿宋_GB2312" w:cs="仿宋_GB2312"/>
                <w:sz w:val="21"/>
                <w:szCs w:val="21"/>
              </w:rPr>
              <w:t>0</w:t>
            </w:r>
          </w:p>
        </w:tc>
      </w:tr>
    </w:tbl>
    <w:p w14:paraId="01F4E98B">
      <w:pPr>
        <w:pStyle w:val="2"/>
        <w:widowControl/>
        <w:spacing w:beforeAutospacing="0" w:afterAutospacing="0" w:line="560" w:lineRule="exact"/>
        <w:ind w:firstLine="420"/>
        <w:rPr>
          <w:rFonts w:ascii="黑体" w:hAnsi="宋体" w:eastAsia="黑体" w:cs="黑体"/>
          <w:sz w:val="32"/>
          <w:szCs w:val="32"/>
        </w:rPr>
      </w:pPr>
      <w:r>
        <w:rPr>
          <w:rFonts w:hint="eastAsia" w:ascii="黑体" w:hAnsi="宋体" w:eastAsia="黑体" w:cs="黑体"/>
          <w:sz w:val="32"/>
          <w:szCs w:val="32"/>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587"/>
        <w:gridCol w:w="587"/>
        <w:gridCol w:w="587"/>
        <w:gridCol w:w="587"/>
        <w:gridCol w:w="662"/>
        <w:gridCol w:w="544"/>
        <w:gridCol w:w="588"/>
        <w:gridCol w:w="588"/>
        <w:gridCol w:w="588"/>
        <w:gridCol w:w="605"/>
        <w:gridCol w:w="588"/>
        <w:gridCol w:w="588"/>
        <w:gridCol w:w="588"/>
        <w:gridCol w:w="588"/>
        <w:gridCol w:w="605"/>
      </w:tblGrid>
      <w:tr w14:paraId="0DF998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14:paraId="1E9FEA95">
            <w:pPr>
              <w:pStyle w:val="2"/>
              <w:widowControl/>
              <w:wordWrap w:val="0"/>
              <w:spacing w:beforeAutospacing="0" w:afterAutospacing="0" w:line="315" w:lineRule="atLeast"/>
              <w:jc w:val="center"/>
            </w:pPr>
            <w:r>
              <w:rPr>
                <w:rFonts w:hint="eastAsia" w:ascii="黑体" w:hAnsi="宋体" w:eastAsia="黑体" w:cs="黑体"/>
                <w:sz w:val="19"/>
                <w:szCs w:val="19"/>
              </w:rPr>
              <w:t>行政复议</w:t>
            </w:r>
          </w:p>
        </w:tc>
        <w:tc>
          <w:tcPr>
            <w:tcW w:w="5985" w:type="dxa"/>
            <w:gridSpan w:val="10"/>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7679BD99">
            <w:pPr>
              <w:pStyle w:val="2"/>
              <w:widowControl/>
              <w:wordWrap w:val="0"/>
              <w:spacing w:beforeAutospacing="0" w:afterAutospacing="0" w:line="315" w:lineRule="atLeast"/>
              <w:jc w:val="center"/>
            </w:pPr>
            <w:r>
              <w:rPr>
                <w:rFonts w:hint="eastAsia" w:ascii="黑体" w:hAnsi="宋体" w:eastAsia="黑体" w:cs="黑体"/>
                <w:sz w:val="19"/>
                <w:szCs w:val="19"/>
              </w:rPr>
              <w:t>行政诉讼</w:t>
            </w:r>
          </w:p>
        </w:tc>
      </w:tr>
      <w:tr w14:paraId="1ACEEC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71432539">
            <w:pPr>
              <w:pStyle w:val="2"/>
              <w:widowControl/>
              <w:wordWrap w:val="0"/>
              <w:spacing w:beforeAutospacing="0" w:afterAutospacing="0" w:line="315" w:lineRule="atLeast"/>
              <w:ind w:left="-150" w:right="-165"/>
              <w:jc w:val="center"/>
            </w:pPr>
            <w:r>
              <w:rPr>
                <w:rFonts w:hint="eastAsia" w:ascii="黑体" w:hAnsi="宋体" w:eastAsia="黑体" w:cs="黑体"/>
                <w:sz w:val="19"/>
                <w:szCs w:val="19"/>
              </w:rPr>
              <w:t>结果</w:t>
            </w:r>
          </w:p>
          <w:p w14:paraId="4F654459">
            <w:pPr>
              <w:pStyle w:val="2"/>
              <w:widowControl/>
              <w:wordWrap w:val="0"/>
              <w:spacing w:beforeAutospacing="0" w:afterAutospacing="0" w:line="315" w:lineRule="atLeast"/>
              <w:ind w:left="-150" w:right="-165"/>
              <w:jc w:val="cente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shd w:val="clear" w:color="auto" w:fill="auto"/>
            <w:tcMar>
              <w:left w:w="75" w:type="dxa"/>
              <w:right w:w="75" w:type="dxa"/>
            </w:tcMar>
            <w:vAlign w:val="center"/>
          </w:tcPr>
          <w:p w14:paraId="786496BB">
            <w:pPr>
              <w:pStyle w:val="2"/>
              <w:widowControl/>
              <w:wordWrap w:val="0"/>
              <w:spacing w:beforeAutospacing="0" w:afterAutospacing="0" w:line="315" w:lineRule="atLeast"/>
              <w:ind w:left="-45" w:right="-135"/>
              <w:jc w:val="center"/>
              <w:rPr>
                <w:rFonts w:ascii="黑体" w:hAnsi="宋体" w:eastAsia="黑体" w:cs="黑体"/>
                <w:sz w:val="19"/>
                <w:szCs w:val="19"/>
              </w:rPr>
            </w:pPr>
            <w:r>
              <w:rPr>
                <w:rFonts w:hint="eastAsia" w:ascii="黑体" w:hAnsi="宋体" w:eastAsia="黑体" w:cs="黑体"/>
                <w:sz w:val="19"/>
                <w:szCs w:val="19"/>
              </w:rPr>
              <w:t>结果</w:t>
            </w:r>
          </w:p>
          <w:p w14:paraId="4CFAF269">
            <w:pPr>
              <w:pStyle w:val="2"/>
              <w:widowControl/>
              <w:wordWrap w:val="0"/>
              <w:spacing w:beforeAutospacing="0" w:afterAutospacing="0" w:line="315" w:lineRule="atLeast"/>
              <w:ind w:left="-45" w:right="-135"/>
              <w:jc w:val="center"/>
            </w:pPr>
            <w:r>
              <w:rPr>
                <w:rFonts w:hint="eastAsia" w:ascii="黑体" w:hAnsi="宋体" w:eastAsia="黑体" w:cs="黑体"/>
                <w:sz w:val="19"/>
                <w:szCs w:val="19"/>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44EB1526">
            <w:pPr>
              <w:pStyle w:val="2"/>
              <w:widowControl/>
              <w:wordWrap w:val="0"/>
              <w:spacing w:beforeAutospacing="0" w:afterAutospacing="0" w:line="315" w:lineRule="atLeast"/>
              <w:ind w:left="-75" w:right="-90"/>
              <w:jc w:val="center"/>
              <w:rPr>
                <w:rFonts w:ascii="黑体" w:hAnsi="宋体" w:eastAsia="黑体" w:cs="黑体"/>
                <w:sz w:val="19"/>
                <w:szCs w:val="19"/>
              </w:rPr>
            </w:pPr>
            <w:r>
              <w:rPr>
                <w:rFonts w:hint="eastAsia" w:ascii="黑体" w:hAnsi="宋体" w:eastAsia="黑体" w:cs="黑体"/>
                <w:sz w:val="19"/>
                <w:szCs w:val="19"/>
              </w:rPr>
              <w:t>其他</w:t>
            </w:r>
          </w:p>
          <w:p w14:paraId="1EEF23B6">
            <w:pPr>
              <w:pStyle w:val="2"/>
              <w:widowControl/>
              <w:wordWrap w:val="0"/>
              <w:spacing w:beforeAutospacing="0" w:afterAutospacing="0" w:line="315" w:lineRule="atLeast"/>
              <w:ind w:left="-75" w:right="-90"/>
              <w:jc w:val="center"/>
            </w:pPr>
            <w:r>
              <w:rPr>
                <w:rFonts w:hint="eastAsia" w:ascii="黑体" w:hAnsi="宋体" w:eastAsia="黑体" w:cs="黑体"/>
                <w:sz w:val="19"/>
                <w:szCs w:val="19"/>
              </w:rPr>
              <w:t>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71FBF89C">
            <w:pPr>
              <w:pStyle w:val="2"/>
              <w:widowControl/>
              <w:wordWrap w:val="0"/>
              <w:spacing w:beforeAutospacing="0" w:afterAutospacing="0" w:line="315" w:lineRule="atLeast"/>
              <w:ind w:left="-120" w:right="-120"/>
              <w:jc w:val="center"/>
            </w:pPr>
            <w:r>
              <w:rPr>
                <w:rFonts w:hint="eastAsia" w:ascii="黑体" w:hAnsi="宋体" w:eastAsia="黑体" w:cs="黑体"/>
                <w:sz w:val="19"/>
                <w:szCs w:val="19"/>
              </w:rPr>
              <w:t>尚未</w:t>
            </w:r>
          </w:p>
          <w:p w14:paraId="731420D1">
            <w:pPr>
              <w:pStyle w:val="2"/>
              <w:widowControl/>
              <w:wordWrap w:val="0"/>
              <w:spacing w:beforeAutospacing="0" w:afterAutospacing="0" w:line="315" w:lineRule="atLeast"/>
              <w:ind w:left="-120" w:right="-120"/>
              <w:jc w:val="center"/>
            </w:pPr>
            <w:r>
              <w:rPr>
                <w:rFonts w:hint="eastAsia" w:ascii="黑体" w:hAnsi="宋体" w:eastAsia="黑体" w:cs="黑体"/>
                <w:sz w:val="19"/>
                <w:szCs w:val="19"/>
              </w:rPr>
              <w:t>审结</w:t>
            </w:r>
          </w:p>
        </w:tc>
        <w:tc>
          <w:tcPr>
            <w:tcW w:w="675" w:type="dxa"/>
            <w:vMerge w:val="restart"/>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68E0F9D4">
            <w:pPr>
              <w:pStyle w:val="2"/>
              <w:widowControl/>
              <w:wordWrap w:val="0"/>
              <w:spacing w:beforeAutospacing="0" w:afterAutospacing="0" w:line="315" w:lineRule="atLeast"/>
              <w:jc w:val="center"/>
            </w:pPr>
            <w:r>
              <w:rPr>
                <w:rFonts w:hint="eastAsia" w:ascii="黑体" w:hAnsi="宋体" w:eastAsia="黑体" w:cs="黑体"/>
                <w:sz w:val="19"/>
                <w:szCs w:val="19"/>
              </w:rPr>
              <w:t>总</w:t>
            </w:r>
          </w:p>
          <w:p w14:paraId="698849BC">
            <w:pPr>
              <w:pStyle w:val="2"/>
              <w:widowControl/>
              <w:wordWrap w:val="0"/>
              <w:spacing w:beforeAutospacing="0" w:afterAutospacing="0" w:line="315" w:lineRule="atLeast"/>
              <w:jc w:val="cente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4948097D">
            <w:pPr>
              <w:pStyle w:val="2"/>
              <w:widowControl/>
              <w:wordWrap w:val="0"/>
              <w:spacing w:beforeAutospacing="0" w:afterAutospacing="0" w:line="315" w:lineRule="atLeast"/>
              <w:jc w:val="center"/>
            </w:pPr>
            <w:r>
              <w:rPr>
                <w:rFonts w:hint="eastAsia" w:ascii="黑体" w:hAnsi="宋体" w:eastAsia="黑体" w:cs="黑体"/>
                <w:sz w:val="19"/>
                <w:szCs w:val="19"/>
              </w:rPr>
              <w:t>未经复议直接起诉</w:t>
            </w:r>
          </w:p>
        </w:tc>
        <w:tc>
          <w:tcPr>
            <w:tcW w:w="3015" w:type="dxa"/>
            <w:gridSpan w:val="5"/>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1F029138">
            <w:pPr>
              <w:pStyle w:val="2"/>
              <w:widowControl/>
              <w:wordWrap w:val="0"/>
              <w:spacing w:beforeAutospacing="0" w:afterAutospacing="0" w:line="315" w:lineRule="atLeast"/>
              <w:jc w:val="center"/>
            </w:pPr>
            <w:r>
              <w:rPr>
                <w:rFonts w:hint="eastAsia" w:ascii="黑体" w:hAnsi="宋体" w:eastAsia="黑体" w:cs="黑体"/>
                <w:sz w:val="19"/>
                <w:szCs w:val="19"/>
              </w:rPr>
              <w:t>复议后起诉</w:t>
            </w:r>
          </w:p>
        </w:tc>
      </w:tr>
      <w:tr w14:paraId="4F53F4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5F4F2B39">
            <w:pPr>
              <w:rPr>
                <w:rFonts w:ascii="宋体"/>
                <w:sz w:val="24"/>
              </w:rPr>
            </w:pPr>
          </w:p>
        </w:tc>
        <w:tc>
          <w:tcPr>
            <w:tcW w:w="600"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14:paraId="6F26A9E8">
            <w:pPr>
              <w:rPr>
                <w:rFonts w:ascii="宋体"/>
                <w:sz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00AAD12B">
            <w:pPr>
              <w:rPr>
                <w:rFonts w:ascii="宋体"/>
                <w:sz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6B8F0A6B">
            <w:pPr>
              <w:rPr>
                <w:rFonts w:ascii="宋体"/>
                <w:sz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67119383">
            <w:pPr>
              <w:rPr>
                <w:rFonts w:ascii="宋体"/>
                <w:sz w:val="24"/>
              </w:rPr>
            </w:pPr>
          </w:p>
        </w:tc>
        <w:tc>
          <w:tcPr>
            <w:tcW w:w="555" w:type="dxa"/>
            <w:tcBorders>
              <w:top w:val="nil"/>
              <w:left w:val="nil"/>
              <w:bottom w:val="single" w:color="auto" w:sz="6" w:space="0"/>
              <w:right w:val="single" w:color="auto" w:sz="6" w:space="0"/>
            </w:tcBorders>
            <w:shd w:val="clear" w:color="auto" w:fill="auto"/>
            <w:tcMar>
              <w:left w:w="75" w:type="dxa"/>
              <w:right w:w="75" w:type="dxa"/>
            </w:tcMar>
            <w:vAlign w:val="center"/>
          </w:tcPr>
          <w:p w14:paraId="051D4433">
            <w:pPr>
              <w:pStyle w:val="2"/>
              <w:widowControl/>
              <w:wordWrap w:val="0"/>
              <w:spacing w:beforeAutospacing="0" w:afterAutospacing="0" w:line="315" w:lineRule="atLeast"/>
              <w:ind w:left="-105" w:right="-120"/>
              <w:jc w:val="center"/>
              <w:rPr>
                <w:rFonts w:ascii="黑体" w:hAnsi="宋体" w:eastAsia="黑体" w:cs="黑体"/>
                <w:sz w:val="19"/>
                <w:szCs w:val="19"/>
              </w:rPr>
            </w:pPr>
            <w:r>
              <w:rPr>
                <w:rFonts w:hint="eastAsia" w:ascii="黑体" w:hAnsi="宋体" w:eastAsia="黑体" w:cs="黑体"/>
                <w:sz w:val="19"/>
                <w:szCs w:val="19"/>
              </w:rPr>
              <w:t>结果</w:t>
            </w:r>
          </w:p>
          <w:p w14:paraId="4C76FE9C">
            <w:pPr>
              <w:pStyle w:val="2"/>
              <w:widowControl/>
              <w:wordWrap w:val="0"/>
              <w:spacing w:beforeAutospacing="0" w:afterAutospacing="0" w:line="315" w:lineRule="atLeast"/>
              <w:ind w:left="-105" w:right="-120"/>
              <w:jc w:val="center"/>
            </w:pPr>
            <w:r>
              <w:rPr>
                <w:rFonts w:hint="eastAsia" w:ascii="黑体" w:hAnsi="宋体" w:eastAsia="黑体" w:cs="黑体"/>
                <w:sz w:val="19"/>
                <w:szCs w:val="19"/>
              </w:rPr>
              <w:t>维持</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501FC603">
            <w:pPr>
              <w:pStyle w:val="2"/>
              <w:widowControl/>
              <w:wordWrap w:val="0"/>
              <w:spacing w:beforeAutospacing="0" w:afterAutospacing="0" w:line="315" w:lineRule="atLeast"/>
              <w:ind w:left="-90" w:right="-90"/>
              <w:jc w:val="center"/>
              <w:rPr>
                <w:rFonts w:ascii="黑体" w:hAnsi="宋体" w:eastAsia="黑体" w:cs="黑体"/>
                <w:sz w:val="19"/>
                <w:szCs w:val="19"/>
              </w:rPr>
            </w:pPr>
            <w:r>
              <w:rPr>
                <w:rFonts w:hint="eastAsia" w:ascii="黑体" w:hAnsi="宋体" w:eastAsia="黑体" w:cs="黑体"/>
                <w:sz w:val="19"/>
                <w:szCs w:val="19"/>
              </w:rPr>
              <w:t>结果</w:t>
            </w:r>
          </w:p>
          <w:p w14:paraId="69D9B7E1">
            <w:pPr>
              <w:pStyle w:val="2"/>
              <w:widowControl/>
              <w:wordWrap w:val="0"/>
              <w:spacing w:beforeAutospacing="0" w:afterAutospacing="0" w:line="315" w:lineRule="atLeast"/>
              <w:ind w:left="-90" w:right="-9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4DD03F76">
            <w:pPr>
              <w:pStyle w:val="2"/>
              <w:widowControl/>
              <w:wordWrap w:val="0"/>
              <w:spacing w:beforeAutospacing="0" w:afterAutospacing="0" w:line="315" w:lineRule="atLeast"/>
              <w:ind w:left="-120" w:right="-135"/>
              <w:jc w:val="center"/>
            </w:pPr>
            <w:r>
              <w:rPr>
                <w:rFonts w:hint="eastAsia" w:ascii="黑体" w:hAnsi="宋体" w:eastAsia="黑体" w:cs="黑体"/>
                <w:sz w:val="19"/>
                <w:szCs w:val="19"/>
              </w:rPr>
              <w:t>其他</w:t>
            </w:r>
          </w:p>
          <w:p w14:paraId="4FDF7A6C">
            <w:pPr>
              <w:pStyle w:val="2"/>
              <w:widowControl/>
              <w:wordWrap w:val="0"/>
              <w:spacing w:beforeAutospacing="0" w:afterAutospacing="0" w:line="315" w:lineRule="atLeast"/>
              <w:ind w:left="-12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6588347F">
            <w:pPr>
              <w:pStyle w:val="2"/>
              <w:widowControl/>
              <w:wordWrap w:val="0"/>
              <w:spacing w:beforeAutospacing="0" w:afterAutospacing="0" w:line="315" w:lineRule="atLeast"/>
              <w:ind w:left="-165" w:right="-150"/>
              <w:jc w:val="center"/>
            </w:pPr>
            <w:r>
              <w:rPr>
                <w:rFonts w:hint="eastAsia" w:ascii="黑体" w:hAnsi="宋体" w:eastAsia="黑体" w:cs="黑体"/>
                <w:sz w:val="19"/>
                <w:szCs w:val="19"/>
              </w:rPr>
              <w:t>尚未</w:t>
            </w:r>
          </w:p>
          <w:p w14:paraId="39544839">
            <w:pPr>
              <w:pStyle w:val="2"/>
              <w:widowControl/>
              <w:wordWrap w:val="0"/>
              <w:spacing w:beforeAutospacing="0" w:afterAutospacing="0" w:line="315" w:lineRule="atLeast"/>
              <w:ind w:left="-165" w:right="-150"/>
              <w:jc w:val="center"/>
            </w:pPr>
            <w:r>
              <w:rPr>
                <w:rFonts w:hint="eastAsia" w:ascii="黑体" w:hAnsi="宋体" w:eastAsia="黑体" w:cs="黑体"/>
                <w:sz w:val="19"/>
                <w:szCs w:val="19"/>
              </w:rPr>
              <w:t>审结</w:t>
            </w:r>
          </w:p>
        </w:tc>
        <w:tc>
          <w:tcPr>
            <w:tcW w:w="61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73600874">
            <w:pPr>
              <w:pStyle w:val="2"/>
              <w:widowControl/>
              <w:wordWrap w:val="0"/>
              <w:spacing w:beforeAutospacing="0" w:afterAutospacing="0" w:line="315" w:lineRule="atLeast"/>
              <w:jc w:val="cente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7FF7B36E">
            <w:pPr>
              <w:pStyle w:val="2"/>
              <w:widowControl/>
              <w:wordWrap w:val="0"/>
              <w:spacing w:beforeAutospacing="0" w:afterAutospacing="0" w:line="315" w:lineRule="atLeast"/>
              <w:ind w:left="-105" w:right="-75"/>
              <w:jc w:val="center"/>
              <w:rPr>
                <w:rFonts w:ascii="黑体" w:hAnsi="宋体" w:eastAsia="黑体" w:cs="黑体"/>
                <w:sz w:val="19"/>
                <w:szCs w:val="19"/>
              </w:rPr>
            </w:pPr>
            <w:r>
              <w:rPr>
                <w:rFonts w:hint="eastAsia" w:ascii="黑体" w:hAnsi="宋体" w:eastAsia="黑体" w:cs="黑体"/>
                <w:sz w:val="19"/>
                <w:szCs w:val="19"/>
              </w:rPr>
              <w:t>结果</w:t>
            </w:r>
          </w:p>
          <w:p w14:paraId="28083ED5">
            <w:pPr>
              <w:pStyle w:val="2"/>
              <w:widowControl/>
              <w:wordWrap w:val="0"/>
              <w:spacing w:beforeAutospacing="0" w:afterAutospacing="0" w:line="315" w:lineRule="atLeast"/>
              <w:ind w:left="-105" w:right="-75"/>
              <w:jc w:val="center"/>
            </w:pPr>
            <w:r>
              <w:rPr>
                <w:rFonts w:hint="eastAsia" w:ascii="黑体" w:hAnsi="宋体" w:eastAsia="黑体" w:cs="黑体"/>
                <w:sz w:val="19"/>
                <w:szCs w:val="19"/>
              </w:rPr>
              <w:t>维持</w:t>
            </w:r>
          </w:p>
        </w:tc>
        <w:tc>
          <w:tcPr>
            <w:tcW w:w="60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4E193506">
            <w:pPr>
              <w:pStyle w:val="2"/>
              <w:widowControl/>
              <w:wordWrap w:val="0"/>
              <w:spacing w:beforeAutospacing="0" w:afterAutospacing="0" w:line="315" w:lineRule="atLeast"/>
              <w:ind w:left="-135" w:right="-120"/>
              <w:jc w:val="center"/>
            </w:pPr>
            <w:r>
              <w:rPr>
                <w:rFonts w:hint="eastAsia" w:ascii="黑体" w:hAnsi="宋体" w:eastAsia="黑体" w:cs="黑体"/>
                <w:sz w:val="19"/>
                <w:szCs w:val="19"/>
              </w:rPr>
              <w:t>结果</w:t>
            </w:r>
          </w:p>
          <w:p w14:paraId="53364F2C">
            <w:pPr>
              <w:pStyle w:val="2"/>
              <w:widowControl/>
              <w:wordWrap w:val="0"/>
              <w:spacing w:beforeAutospacing="0" w:afterAutospacing="0" w:line="315" w:lineRule="atLeast"/>
              <w:ind w:left="-135" w:right="-12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0954101C">
            <w:pPr>
              <w:pStyle w:val="2"/>
              <w:widowControl/>
              <w:wordWrap w:val="0"/>
              <w:spacing w:beforeAutospacing="0" w:afterAutospacing="0" w:line="315" w:lineRule="atLeast"/>
              <w:ind w:left="-180" w:right="-135"/>
              <w:jc w:val="center"/>
            </w:pPr>
            <w:r>
              <w:rPr>
                <w:rFonts w:hint="eastAsia" w:ascii="黑体" w:hAnsi="宋体" w:eastAsia="黑体" w:cs="黑体"/>
                <w:sz w:val="19"/>
                <w:szCs w:val="19"/>
              </w:rPr>
              <w:t>其他</w:t>
            </w:r>
          </w:p>
          <w:p w14:paraId="7BC7DD07">
            <w:pPr>
              <w:pStyle w:val="2"/>
              <w:widowControl/>
              <w:wordWrap w:val="0"/>
              <w:spacing w:beforeAutospacing="0" w:afterAutospacing="0" w:line="315" w:lineRule="atLeast"/>
              <w:ind w:left="-18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3D1859E2">
            <w:pPr>
              <w:pStyle w:val="2"/>
              <w:widowControl/>
              <w:wordWrap w:val="0"/>
              <w:spacing w:beforeAutospacing="0" w:afterAutospacing="0" w:line="315" w:lineRule="atLeast"/>
              <w:ind w:left="-60" w:right="-105"/>
              <w:jc w:val="center"/>
              <w:rPr>
                <w:rFonts w:ascii="黑体" w:hAnsi="宋体" w:eastAsia="黑体" w:cs="黑体"/>
                <w:sz w:val="19"/>
                <w:szCs w:val="19"/>
              </w:rPr>
            </w:pPr>
            <w:r>
              <w:rPr>
                <w:rFonts w:hint="eastAsia" w:ascii="黑体" w:hAnsi="宋体" w:eastAsia="黑体" w:cs="黑体"/>
                <w:sz w:val="19"/>
                <w:szCs w:val="19"/>
              </w:rPr>
              <w:t>尚未</w:t>
            </w:r>
          </w:p>
          <w:p w14:paraId="1DD1D460">
            <w:pPr>
              <w:pStyle w:val="2"/>
              <w:widowControl/>
              <w:wordWrap w:val="0"/>
              <w:spacing w:beforeAutospacing="0" w:afterAutospacing="0" w:line="315" w:lineRule="atLeast"/>
              <w:ind w:left="-60" w:right="-105"/>
              <w:jc w:val="center"/>
            </w:pPr>
            <w:r>
              <w:rPr>
                <w:rFonts w:hint="eastAsia" w:ascii="黑体" w:hAnsi="宋体" w:eastAsia="黑体" w:cs="黑体"/>
                <w:sz w:val="19"/>
                <w:szCs w:val="19"/>
              </w:rPr>
              <w:t>审结</w:t>
            </w:r>
          </w:p>
        </w:tc>
        <w:tc>
          <w:tcPr>
            <w:tcW w:w="61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14:paraId="0F0323D9">
            <w:pPr>
              <w:pStyle w:val="2"/>
              <w:widowControl/>
              <w:wordWrap w:val="0"/>
              <w:spacing w:beforeAutospacing="0" w:afterAutospacing="0" w:line="315" w:lineRule="atLeast"/>
              <w:jc w:val="center"/>
            </w:pPr>
            <w:r>
              <w:rPr>
                <w:rFonts w:hint="eastAsia" w:ascii="黑体" w:hAnsi="宋体" w:eastAsia="黑体" w:cs="黑体"/>
                <w:sz w:val="19"/>
                <w:szCs w:val="19"/>
              </w:rPr>
              <w:t>总计</w:t>
            </w:r>
          </w:p>
        </w:tc>
      </w:tr>
      <w:tr w14:paraId="2C4027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14:paraId="438958E9">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16EFECCA">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798EFE32">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3EC6021B">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75" w:type="dxa"/>
            <w:tcBorders>
              <w:top w:val="nil"/>
              <w:left w:val="nil"/>
              <w:bottom w:val="single" w:color="auto" w:sz="6" w:space="0"/>
              <w:right w:val="single" w:color="auto" w:sz="6" w:space="0"/>
            </w:tcBorders>
            <w:shd w:val="clear" w:color="auto" w:fill="auto"/>
            <w:tcMar>
              <w:left w:w="75" w:type="dxa"/>
              <w:right w:w="75" w:type="dxa"/>
            </w:tcMar>
            <w:vAlign w:val="center"/>
          </w:tcPr>
          <w:p w14:paraId="025C31C7">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555" w:type="dxa"/>
            <w:tcBorders>
              <w:top w:val="nil"/>
              <w:left w:val="nil"/>
              <w:bottom w:val="single" w:color="auto" w:sz="6" w:space="0"/>
              <w:right w:val="single" w:color="auto" w:sz="6" w:space="0"/>
            </w:tcBorders>
            <w:shd w:val="clear" w:color="auto" w:fill="auto"/>
            <w:tcMar>
              <w:left w:w="75" w:type="dxa"/>
              <w:right w:w="75" w:type="dxa"/>
            </w:tcMar>
            <w:vAlign w:val="center"/>
          </w:tcPr>
          <w:p w14:paraId="222FF2F9">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2F4F79B4">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4C83C3E6">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78AD55D8">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15" w:type="dxa"/>
            <w:tcBorders>
              <w:top w:val="nil"/>
              <w:left w:val="nil"/>
              <w:bottom w:val="single" w:color="auto" w:sz="6" w:space="0"/>
              <w:right w:val="single" w:color="auto" w:sz="6" w:space="0"/>
            </w:tcBorders>
            <w:shd w:val="clear" w:color="auto" w:fill="auto"/>
            <w:tcMar>
              <w:left w:w="75" w:type="dxa"/>
              <w:right w:w="75" w:type="dxa"/>
            </w:tcMar>
            <w:vAlign w:val="center"/>
          </w:tcPr>
          <w:p w14:paraId="7DF7DB12">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0F6B752D">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20F4E542">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72AE54B9">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14:paraId="5C1DA526">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c>
          <w:tcPr>
            <w:tcW w:w="615" w:type="dxa"/>
            <w:tcBorders>
              <w:top w:val="nil"/>
              <w:left w:val="nil"/>
              <w:bottom w:val="single" w:color="auto" w:sz="6" w:space="0"/>
              <w:right w:val="single" w:color="auto" w:sz="6" w:space="0"/>
            </w:tcBorders>
            <w:shd w:val="clear" w:color="auto" w:fill="auto"/>
            <w:tcMar>
              <w:left w:w="75" w:type="dxa"/>
              <w:right w:w="75" w:type="dxa"/>
            </w:tcMar>
            <w:vAlign w:val="center"/>
          </w:tcPr>
          <w:p w14:paraId="6AA0A155">
            <w:pPr>
              <w:pStyle w:val="2"/>
              <w:widowControl/>
              <w:wordWrap w:val="0"/>
              <w:spacing w:beforeAutospacing="0" w:after="180" w:afterAutospacing="0" w:line="315" w:lineRule="atLeast"/>
              <w:jc w:val="center"/>
            </w:pPr>
            <w:r>
              <w:rPr>
                <w:rFonts w:hint="eastAsia" w:ascii="宋体" w:hAnsi="宋体" w:eastAsia="宋体" w:cs="宋体"/>
                <w:sz w:val="21"/>
                <w:szCs w:val="21"/>
              </w:rPr>
              <w:t>0</w:t>
            </w:r>
          </w:p>
        </w:tc>
      </w:tr>
    </w:tbl>
    <w:p w14:paraId="6C7BD342">
      <w:pPr>
        <w:pStyle w:val="2"/>
        <w:widowControl/>
        <w:spacing w:beforeAutospacing="0" w:afterAutospacing="0" w:line="560" w:lineRule="exact"/>
        <w:ind w:firstLine="640" w:firstLineChars="200"/>
        <w:rPr>
          <w:sz w:val="32"/>
          <w:szCs w:val="32"/>
        </w:rPr>
      </w:pPr>
      <w:r>
        <w:rPr>
          <w:rFonts w:hint="eastAsia" w:ascii="黑体" w:hAnsi="宋体" w:eastAsia="黑体" w:cs="黑体"/>
          <w:sz w:val="32"/>
          <w:szCs w:val="32"/>
        </w:rPr>
        <w:t>五、存在的主要问题及改进情况</w:t>
      </w:r>
    </w:p>
    <w:p w14:paraId="746CC13E">
      <w:pPr>
        <w:pStyle w:val="2"/>
        <w:widowControl/>
        <w:spacing w:beforeAutospacing="0" w:afterAutospacing="0" w:line="560" w:lineRule="exact"/>
        <w:ind w:firstLine="640" w:firstLineChars="200"/>
        <w:rPr>
          <w:sz w:val="32"/>
          <w:szCs w:val="32"/>
          <w:highlight w:val="none"/>
        </w:rPr>
      </w:pPr>
      <w:r>
        <w:rPr>
          <w:rFonts w:hint="eastAsia" w:ascii="楷体_GB2312" w:eastAsia="楷体_GB2312" w:cs="楷体_GB2312"/>
          <w:sz w:val="32"/>
          <w:szCs w:val="32"/>
          <w:highlight w:val="none"/>
        </w:rPr>
        <w:t>（一）存在的主要问题</w:t>
      </w:r>
    </w:p>
    <w:p w14:paraId="3BFD85F6">
      <w:pPr>
        <w:pStyle w:val="2"/>
        <w:widowControl/>
        <w:spacing w:beforeAutospacing="0" w:afterAutospacing="0" w:line="560" w:lineRule="exact"/>
        <w:ind w:firstLine="640" w:firstLineChars="200"/>
        <w:rPr>
          <w:rFonts w:hint="default" w:eastAsia="仿宋_GB2312"/>
          <w:sz w:val="32"/>
          <w:szCs w:val="32"/>
          <w:highlight w:val="none"/>
          <w:lang w:val="en-US" w:eastAsia="zh-CN"/>
        </w:rPr>
      </w:pPr>
      <w:r>
        <w:rPr>
          <w:rFonts w:hint="eastAsia" w:ascii="仿宋_GB2312" w:eastAsia="仿宋_GB2312" w:cs="仿宋_GB2312"/>
          <w:sz w:val="32"/>
          <w:szCs w:val="32"/>
          <w:highlight w:val="none"/>
        </w:rPr>
        <w:t>2024年，</w:t>
      </w:r>
      <w:r>
        <w:rPr>
          <w:rFonts w:hint="eastAsia" w:ascii="仿宋_GB2312" w:eastAsia="仿宋_GB2312" w:cs="仿宋_GB2312"/>
          <w:sz w:val="32"/>
          <w:szCs w:val="32"/>
          <w:highlight w:val="none"/>
          <w:lang w:val="en-US" w:eastAsia="zh-CN"/>
        </w:rPr>
        <w:t>区</w:t>
      </w:r>
      <w:r>
        <w:rPr>
          <w:rFonts w:hint="eastAsia" w:ascii="仿宋_GB2312" w:eastAsia="仿宋_GB2312" w:cs="仿宋_GB2312"/>
          <w:sz w:val="32"/>
          <w:szCs w:val="32"/>
          <w:highlight w:val="none"/>
        </w:rPr>
        <w:t>交通运输局</w:t>
      </w:r>
      <w:r>
        <w:rPr>
          <w:rFonts w:hint="eastAsia" w:ascii="仿宋_GB2312" w:eastAsia="仿宋_GB2312" w:cs="仿宋_GB2312"/>
          <w:sz w:val="32"/>
          <w:szCs w:val="32"/>
          <w:highlight w:val="none"/>
          <w:lang w:val="en-US" w:eastAsia="zh-CN"/>
        </w:rPr>
        <w:t>的</w:t>
      </w:r>
      <w:r>
        <w:rPr>
          <w:rFonts w:hint="eastAsia" w:ascii="仿宋_GB2312" w:eastAsia="仿宋_GB2312" w:cs="仿宋_GB2312"/>
          <w:sz w:val="32"/>
          <w:szCs w:val="32"/>
          <w:highlight w:val="none"/>
        </w:rPr>
        <w:t>政务信息公开工作</w:t>
      </w:r>
      <w:r>
        <w:rPr>
          <w:rFonts w:hint="eastAsia" w:ascii="仿宋_GB2312" w:eastAsia="仿宋_GB2312" w:cs="仿宋_GB2312"/>
          <w:sz w:val="32"/>
          <w:szCs w:val="32"/>
          <w:highlight w:val="none"/>
          <w:lang w:val="en-US" w:eastAsia="zh-CN"/>
        </w:rPr>
        <w:t>虽然取得了新的进展</w:t>
      </w:r>
      <w:r>
        <w:rPr>
          <w:rFonts w:hint="eastAsia" w:ascii="仿宋_GB2312" w:eastAsia="仿宋_GB2312" w:cs="仿宋_GB2312"/>
          <w:sz w:val="32"/>
          <w:szCs w:val="32"/>
          <w:highlight w:val="none"/>
        </w:rPr>
        <w:t>,但还存在一些</w:t>
      </w:r>
      <w:r>
        <w:rPr>
          <w:rFonts w:hint="eastAsia" w:ascii="仿宋_GB2312" w:eastAsia="仿宋_GB2312" w:cs="仿宋_GB2312"/>
          <w:sz w:val="32"/>
          <w:szCs w:val="32"/>
          <w:highlight w:val="none"/>
          <w:lang w:val="en-US" w:eastAsia="zh-CN"/>
        </w:rPr>
        <w:t>问题和</w:t>
      </w:r>
      <w:r>
        <w:rPr>
          <w:rFonts w:hint="eastAsia" w:ascii="仿宋_GB2312" w:eastAsia="仿宋_GB2312" w:cs="仿宋_GB2312"/>
          <w:sz w:val="32"/>
          <w:szCs w:val="32"/>
          <w:highlight w:val="none"/>
        </w:rPr>
        <w:t>不足。如，信息公开内容</w:t>
      </w:r>
      <w:r>
        <w:rPr>
          <w:rFonts w:hint="eastAsia" w:ascii="仿宋_GB2312" w:eastAsia="仿宋_GB2312" w:cs="仿宋_GB2312"/>
          <w:sz w:val="32"/>
          <w:szCs w:val="32"/>
          <w:highlight w:val="none"/>
          <w:lang w:val="en-US" w:eastAsia="zh-CN"/>
        </w:rPr>
        <w:t>的广度、深度和力度还</w:t>
      </w:r>
      <w:r>
        <w:rPr>
          <w:rFonts w:hint="eastAsia" w:ascii="仿宋_GB2312" w:eastAsia="仿宋_GB2312" w:cs="仿宋_GB2312"/>
          <w:sz w:val="32"/>
          <w:szCs w:val="32"/>
          <w:highlight w:val="none"/>
        </w:rPr>
        <w:t>不够，</w:t>
      </w:r>
      <w:r>
        <w:rPr>
          <w:rFonts w:hint="eastAsia" w:ascii="仿宋_GB2312" w:eastAsia="仿宋_GB2312" w:cs="仿宋_GB2312"/>
          <w:sz w:val="32"/>
          <w:szCs w:val="32"/>
          <w:highlight w:val="none"/>
          <w:lang w:val="en-US" w:eastAsia="zh-CN"/>
        </w:rPr>
        <w:t>个别政府</w:t>
      </w:r>
      <w:r>
        <w:rPr>
          <w:rFonts w:hint="eastAsia" w:ascii="仿宋_GB2312" w:eastAsia="仿宋_GB2312" w:cs="仿宋_GB2312"/>
          <w:sz w:val="32"/>
          <w:szCs w:val="32"/>
          <w:highlight w:val="none"/>
        </w:rPr>
        <w:t>信息公开不够及时。政务</w:t>
      </w:r>
      <w:r>
        <w:rPr>
          <w:rFonts w:hint="eastAsia" w:ascii="仿宋_GB2312" w:eastAsia="仿宋_GB2312" w:cs="仿宋_GB2312"/>
          <w:sz w:val="32"/>
          <w:szCs w:val="32"/>
          <w:highlight w:val="none"/>
          <w:lang w:val="en-US" w:eastAsia="zh-CN"/>
        </w:rPr>
        <w:t>信息</w:t>
      </w:r>
      <w:r>
        <w:rPr>
          <w:rFonts w:hint="eastAsia" w:ascii="仿宋_GB2312" w:eastAsia="仿宋_GB2312" w:cs="仿宋_GB2312"/>
          <w:sz w:val="32"/>
          <w:szCs w:val="32"/>
          <w:highlight w:val="none"/>
        </w:rPr>
        <w:t>公开意识仍</w:t>
      </w:r>
      <w:r>
        <w:rPr>
          <w:rFonts w:hint="eastAsia" w:ascii="仿宋_GB2312" w:eastAsia="仿宋_GB2312" w:cs="仿宋_GB2312"/>
          <w:sz w:val="32"/>
          <w:szCs w:val="32"/>
          <w:highlight w:val="none"/>
          <w:lang w:val="en-US" w:eastAsia="zh-CN"/>
        </w:rPr>
        <w:t>有待提高</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政府信息</w:t>
      </w:r>
      <w:r>
        <w:rPr>
          <w:rFonts w:hint="eastAsia" w:ascii="仿宋_GB2312" w:eastAsia="仿宋_GB2312" w:cs="仿宋_GB2312"/>
          <w:sz w:val="32"/>
          <w:szCs w:val="32"/>
          <w:highlight w:val="none"/>
        </w:rPr>
        <w:t>公开</w:t>
      </w:r>
      <w:r>
        <w:rPr>
          <w:rFonts w:hint="eastAsia" w:ascii="仿宋_GB2312" w:eastAsia="仿宋_GB2312" w:cs="仿宋_GB2312"/>
          <w:sz w:val="32"/>
          <w:szCs w:val="32"/>
          <w:highlight w:val="none"/>
          <w:lang w:val="en-US" w:eastAsia="zh-CN"/>
        </w:rPr>
        <w:t>宣传</w:t>
      </w:r>
      <w:r>
        <w:rPr>
          <w:rFonts w:hint="eastAsia" w:ascii="仿宋_GB2312" w:eastAsia="仿宋_GB2312" w:cs="仿宋_GB2312"/>
          <w:sz w:val="32"/>
          <w:szCs w:val="32"/>
          <w:highlight w:val="none"/>
        </w:rPr>
        <w:t>渠道</w:t>
      </w:r>
      <w:r>
        <w:rPr>
          <w:rFonts w:hint="eastAsia" w:ascii="仿宋_GB2312" w:eastAsia="仿宋_GB2312" w:cs="仿宋_GB2312"/>
          <w:sz w:val="32"/>
          <w:szCs w:val="32"/>
          <w:highlight w:val="none"/>
          <w:lang w:val="en-US" w:eastAsia="zh-CN"/>
        </w:rPr>
        <w:t>有待</w:t>
      </w:r>
      <w:r>
        <w:rPr>
          <w:rFonts w:hint="eastAsia" w:ascii="仿宋_GB2312" w:eastAsia="仿宋_GB2312" w:cs="仿宋_GB2312"/>
          <w:sz w:val="32"/>
          <w:szCs w:val="32"/>
          <w:highlight w:val="none"/>
        </w:rPr>
        <w:t>进一步拓宽等问题</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需要在今后工作中加以改正。</w:t>
      </w:r>
    </w:p>
    <w:p w14:paraId="029CC074">
      <w:pPr>
        <w:pStyle w:val="2"/>
        <w:widowControl/>
        <w:spacing w:beforeAutospacing="0" w:afterAutospacing="0" w:line="560" w:lineRule="exact"/>
        <w:ind w:firstLine="640" w:firstLineChars="200"/>
        <w:rPr>
          <w:sz w:val="32"/>
          <w:szCs w:val="32"/>
          <w:highlight w:val="none"/>
        </w:rPr>
      </w:pPr>
      <w:r>
        <w:rPr>
          <w:rFonts w:hint="eastAsia" w:ascii="楷体_GB2312" w:eastAsia="楷体_GB2312" w:cs="楷体_GB2312"/>
          <w:sz w:val="32"/>
          <w:szCs w:val="32"/>
          <w:highlight w:val="none"/>
        </w:rPr>
        <w:t>（二）下步改进情况</w:t>
      </w:r>
    </w:p>
    <w:p w14:paraId="6DDA3326">
      <w:pPr>
        <w:pStyle w:val="2"/>
        <w:widowControl/>
        <w:spacing w:beforeAutospacing="0" w:afterAutospacing="0" w:line="56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一是在</w:t>
      </w:r>
      <w:r>
        <w:rPr>
          <w:rFonts w:hint="eastAsia" w:ascii="仿宋_GB2312" w:eastAsia="仿宋_GB2312" w:cs="仿宋_GB2312"/>
          <w:sz w:val="32"/>
          <w:szCs w:val="32"/>
          <w:highlight w:val="none"/>
          <w:lang w:val="en-US" w:eastAsia="zh-CN"/>
        </w:rPr>
        <w:t>信息</w:t>
      </w:r>
      <w:r>
        <w:rPr>
          <w:rFonts w:hint="eastAsia" w:ascii="仿宋_GB2312" w:eastAsia="仿宋_GB2312" w:cs="仿宋_GB2312"/>
          <w:sz w:val="32"/>
          <w:szCs w:val="32"/>
          <w:highlight w:val="none"/>
        </w:rPr>
        <w:t>公开的主动性和时效性上下功夫，结合</w:t>
      </w:r>
      <w:r>
        <w:rPr>
          <w:rFonts w:hint="eastAsia" w:ascii="仿宋_GB2312" w:eastAsia="仿宋_GB2312" w:cs="仿宋_GB2312"/>
          <w:sz w:val="32"/>
          <w:szCs w:val="32"/>
          <w:highlight w:val="none"/>
          <w:lang w:val="en-US" w:eastAsia="zh-CN"/>
        </w:rPr>
        <w:t>区</w:t>
      </w:r>
      <w:r>
        <w:rPr>
          <w:rFonts w:hint="eastAsia" w:ascii="仿宋_GB2312" w:eastAsia="仿宋_GB2312" w:cs="仿宋_GB2312"/>
          <w:sz w:val="32"/>
          <w:szCs w:val="32"/>
          <w:highlight w:val="none"/>
        </w:rPr>
        <w:t>政府重点领域信息公开工作，加强对交通运输行业重点工作的梳理，不断加大政府信息公开力度</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及时准确发布信息</w:t>
      </w:r>
      <w:r>
        <w:rPr>
          <w:rFonts w:hint="eastAsia" w:ascii="仿宋_GB2312" w:eastAsia="仿宋_GB2312" w:cs="仿宋_GB2312"/>
          <w:sz w:val="32"/>
          <w:szCs w:val="32"/>
          <w:highlight w:val="none"/>
        </w:rPr>
        <w:t>。</w:t>
      </w:r>
    </w:p>
    <w:p w14:paraId="7B570579">
      <w:pPr>
        <w:pStyle w:val="2"/>
        <w:widowControl/>
        <w:spacing w:beforeAutospacing="0" w:afterAutospacing="0" w:line="56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二是强化政务公开队伍建设，通过强化学习，加强政务公开业务培训，提高工作人员的业务素质和能力水平</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从而进一步调高政府信息公开工作的水平。</w:t>
      </w:r>
    </w:p>
    <w:p w14:paraId="3A81B3FB">
      <w:pPr>
        <w:pStyle w:val="2"/>
        <w:widowControl/>
        <w:spacing w:beforeAutospacing="0" w:afterAutospacing="0" w:line="56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三是进一步发挥好各类媒体作用。聚焦对外宣传主营业务，统筹用好报纸、电视、网站及新媒体等各类渠道资源，充分利用微信公众号等</w:t>
      </w:r>
      <w:r>
        <w:rPr>
          <w:rFonts w:hint="eastAsia" w:ascii="仿宋_GB2312" w:eastAsia="仿宋_GB2312" w:cs="仿宋_GB2312"/>
          <w:sz w:val="32"/>
          <w:szCs w:val="32"/>
          <w:highlight w:val="none"/>
          <w:lang w:val="en-US" w:eastAsia="zh-CN"/>
        </w:rPr>
        <w:t>新</w:t>
      </w:r>
      <w:r>
        <w:rPr>
          <w:rFonts w:hint="eastAsia" w:ascii="仿宋_GB2312" w:eastAsia="仿宋_GB2312" w:cs="仿宋_GB2312"/>
          <w:sz w:val="32"/>
          <w:szCs w:val="32"/>
          <w:highlight w:val="none"/>
        </w:rPr>
        <w:t>媒体</w:t>
      </w:r>
      <w:r>
        <w:rPr>
          <w:rFonts w:hint="eastAsia" w:ascii="仿宋_GB2312" w:eastAsia="仿宋_GB2312" w:cs="仿宋_GB2312"/>
          <w:sz w:val="32"/>
          <w:szCs w:val="32"/>
          <w:highlight w:val="none"/>
          <w:lang w:val="en-US" w:eastAsia="zh-CN"/>
        </w:rPr>
        <w:t>宣传渠道</w:t>
      </w:r>
      <w:r>
        <w:rPr>
          <w:rFonts w:hint="eastAsia" w:ascii="仿宋_GB2312" w:eastAsia="仿宋_GB2312" w:cs="仿宋_GB2312"/>
          <w:sz w:val="32"/>
          <w:szCs w:val="32"/>
          <w:highlight w:val="none"/>
        </w:rPr>
        <w:t>，保持对外宣传的覆盖面</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加大力度宣传政府信息公开，提升政府信息公开工作的知晓率。</w:t>
      </w:r>
    </w:p>
    <w:p w14:paraId="3305167B">
      <w:pPr>
        <w:pStyle w:val="2"/>
        <w:widowControl/>
        <w:shd w:val="clear" w:color="auto" w:fill="FFFFFF"/>
        <w:spacing w:beforeAutospacing="0" w:afterAutospacing="0" w:line="560" w:lineRule="exact"/>
        <w:ind w:firstLine="640" w:firstLineChars="200"/>
        <w:rPr>
          <w:sz w:val="32"/>
          <w:szCs w:val="32"/>
        </w:rPr>
      </w:pPr>
      <w:r>
        <w:rPr>
          <w:rFonts w:hint="eastAsia" w:ascii="黑体" w:hAnsi="宋体" w:eastAsia="黑体" w:cs="黑体"/>
          <w:sz w:val="32"/>
          <w:szCs w:val="32"/>
          <w:shd w:val="clear" w:color="auto" w:fill="FFFFFF"/>
        </w:rPr>
        <w:t>六、其他需要报告的事项</w:t>
      </w:r>
    </w:p>
    <w:p w14:paraId="45279AB3">
      <w:pPr>
        <w:pStyle w:val="2"/>
        <w:widowControl/>
        <w:spacing w:beforeAutospacing="0" w:afterAutospacing="0" w:line="560" w:lineRule="exact"/>
        <w:ind w:firstLine="640" w:firstLineChars="200"/>
        <w:rPr>
          <w:sz w:val="32"/>
          <w:szCs w:val="32"/>
        </w:rPr>
      </w:pPr>
      <w:r>
        <w:rPr>
          <w:rFonts w:ascii="楷体" w:hAnsi="楷体" w:eastAsia="楷体" w:cs="楷体"/>
          <w:sz w:val="32"/>
          <w:szCs w:val="32"/>
          <w:shd w:val="clear" w:color="auto" w:fill="FFFFFF"/>
        </w:rPr>
        <w:t>一是收取信息处理费情况方面</w:t>
      </w:r>
      <w:r>
        <w:rPr>
          <w:rFonts w:hint="eastAsia" w:ascii="仿宋_GB2312" w:eastAsia="仿宋_GB2312" w:cs="仿宋_GB2312"/>
          <w:sz w:val="32"/>
          <w:szCs w:val="32"/>
          <w:shd w:val="clear" w:color="auto" w:fill="FFFFFF"/>
        </w:rPr>
        <w:t>。2024</w:t>
      </w:r>
      <w:r>
        <w:rPr>
          <w:rFonts w:hint="eastAsia" w:ascii="仿宋_GB2312" w:eastAsia="仿宋_GB2312" w:cs="仿宋_GB2312"/>
          <w:sz w:val="32"/>
          <w:szCs w:val="32"/>
        </w:rPr>
        <w:t>年，区交通运输局不存在因信息处理收取相关费用的情况。</w:t>
      </w:r>
    </w:p>
    <w:p w14:paraId="1D41BF5E">
      <w:pPr>
        <w:pStyle w:val="2"/>
        <w:widowControl/>
        <w:spacing w:beforeAutospacing="0" w:afterAutospacing="0" w:line="560" w:lineRule="exact"/>
        <w:ind w:firstLine="640" w:firstLineChars="200"/>
        <w:rPr>
          <w:sz w:val="32"/>
          <w:szCs w:val="32"/>
        </w:rPr>
      </w:pPr>
      <w:r>
        <w:rPr>
          <w:rFonts w:hint="eastAsia" w:ascii="楷体" w:hAnsi="楷体" w:eastAsia="楷体" w:cs="楷体"/>
          <w:sz w:val="32"/>
          <w:szCs w:val="32"/>
          <w:shd w:val="clear" w:color="auto" w:fill="FFFFFF"/>
        </w:rPr>
        <w:t>二是落实上级年度政务公开工作要点情况</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rPr>
        <w:t>按上级要求维护更新政务信息，做好政务公开工作，对各科室上报的政务资源信息目录进行审核、督促。牵头做好数据资源挂接工作，做到应传尽传，数据详实，依据充分。今年在区政府网站发布各类信息128条。</w:t>
      </w:r>
    </w:p>
    <w:p w14:paraId="465CCEE9">
      <w:pPr>
        <w:pStyle w:val="2"/>
        <w:widowControl/>
        <w:spacing w:beforeAutospacing="0" w:afterAutospacing="0" w:line="560" w:lineRule="exact"/>
        <w:ind w:firstLine="640" w:firstLineChars="200"/>
        <w:rPr>
          <w:sz w:val="32"/>
          <w:szCs w:val="32"/>
        </w:rPr>
      </w:pPr>
      <w:r>
        <w:rPr>
          <w:rFonts w:hint="eastAsia" w:ascii="楷体" w:hAnsi="楷体" w:eastAsia="楷体" w:cs="楷体"/>
          <w:sz w:val="32"/>
          <w:szCs w:val="32"/>
          <w:shd w:val="clear" w:color="auto" w:fill="FFFFFF"/>
        </w:rPr>
        <w:t>三是人大代表建议和政协提案办理结果公开情况</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rPr>
        <w:t>制定《区交通运输局人大建议及政协提案办理工作方案》，成立工作领导小组，认真做好市区建议、提案的答复办理工作。与代表委员电话沟通或见面座谈，听取意见建议。今年我局共收到市区两级建议提案13件，其中涉及农村公路道路建设管理养护类7件，道路运输行业管理类5件，交通运输行政执法类1件，已全部答复完成，回访满意率100%，相关结果已在区政府门户网站建议提案办理栏目进行公开。</w:t>
      </w:r>
    </w:p>
    <w:p w14:paraId="1DEA2863">
      <w:pPr>
        <w:pStyle w:val="2"/>
        <w:widowControl/>
        <w:spacing w:beforeAutospacing="0" w:afterAutospacing="0" w:line="560" w:lineRule="exact"/>
        <w:ind w:firstLine="640" w:firstLineChars="200"/>
        <w:rPr>
          <w:sz w:val="32"/>
          <w:szCs w:val="32"/>
        </w:rPr>
      </w:pPr>
      <w:r>
        <w:rPr>
          <w:rFonts w:hint="eastAsia" w:ascii="楷体" w:hAnsi="楷体" w:eastAsia="楷体" w:cs="楷体"/>
          <w:sz w:val="32"/>
          <w:szCs w:val="32"/>
          <w:shd w:val="clear" w:color="auto" w:fill="FFFFFF"/>
        </w:rPr>
        <w:t>四是政务公开工作创新情况：</w:t>
      </w:r>
      <w:r>
        <w:rPr>
          <w:rFonts w:hint="eastAsia" w:ascii="仿宋_GB2312" w:eastAsia="仿宋_GB2312" w:cs="仿宋_GB2312"/>
          <w:sz w:val="32"/>
          <w:szCs w:val="32"/>
          <w:shd w:val="clear" w:color="auto" w:fill="FFFFFF"/>
        </w:rPr>
        <w:t>无</w:t>
      </w:r>
      <w:r>
        <w:rPr>
          <w:rFonts w:hint="eastAsia" w:ascii="仿宋_GB2312" w:eastAsia="仿宋_GB2312" w:cs="仿宋_GB2312"/>
          <w:sz w:val="32"/>
          <w:szCs w:val="32"/>
        </w:rPr>
        <w:t>。</w:t>
      </w:r>
    </w:p>
    <w:p w14:paraId="085013FF">
      <w:pPr>
        <w:pStyle w:val="2"/>
        <w:widowControl/>
        <w:spacing w:beforeAutospacing="0" w:afterAutospacing="0" w:line="560" w:lineRule="exact"/>
        <w:ind w:firstLine="640" w:firstLineChars="200"/>
        <w:rPr>
          <w:sz w:val="32"/>
          <w:szCs w:val="32"/>
        </w:rPr>
      </w:pPr>
      <w:r>
        <w:rPr>
          <w:rFonts w:hint="eastAsia" w:ascii="楷体" w:hAnsi="楷体" w:eastAsia="楷体" w:cs="楷体"/>
          <w:sz w:val="32"/>
          <w:szCs w:val="32"/>
          <w:shd w:val="clear" w:color="auto" w:fill="FFFFFF"/>
        </w:rPr>
        <w:t>五是本行政机关政府信息公开工作年度报告数据统计需要说明的事项</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rPr>
        <w:t>报告中所列数据的统计期限自2024年1月1日起至2024年12月31日止。</w:t>
      </w:r>
    </w:p>
    <w:p w14:paraId="48968C25">
      <w:pPr>
        <w:pStyle w:val="2"/>
        <w:widowControl/>
        <w:spacing w:beforeAutospacing="0" w:afterAutospacing="0" w:line="560" w:lineRule="exact"/>
        <w:ind w:firstLine="640" w:firstLineChars="200"/>
        <w:rPr>
          <w:sz w:val="32"/>
          <w:szCs w:val="32"/>
        </w:rPr>
      </w:pPr>
      <w:r>
        <w:rPr>
          <w:rFonts w:hint="eastAsia" w:ascii="楷体" w:hAnsi="楷体" w:eastAsia="楷体" w:cs="楷体"/>
          <w:sz w:val="32"/>
          <w:szCs w:val="32"/>
          <w:shd w:val="clear" w:color="auto" w:fill="FFFFFF"/>
        </w:rPr>
        <w:t>六是本行政机关认为需要报告的其他事项</w:t>
      </w:r>
      <w:r>
        <w:rPr>
          <w:rFonts w:hint="eastAsia" w:ascii="仿宋_GB2312" w:eastAsia="仿宋_GB2312" w:cs="仿宋_GB2312"/>
          <w:sz w:val="32"/>
          <w:szCs w:val="32"/>
          <w:shd w:val="clear" w:color="auto" w:fill="FFFFFF"/>
        </w:rPr>
        <w:t>：无。</w:t>
      </w:r>
    </w:p>
    <w:p w14:paraId="1E00E69A">
      <w:pPr>
        <w:pStyle w:val="2"/>
        <w:widowControl/>
        <w:spacing w:beforeAutospacing="0" w:afterAutospacing="0" w:line="560" w:lineRule="exact"/>
        <w:ind w:firstLine="640" w:firstLineChars="200"/>
        <w:rPr>
          <w:sz w:val="32"/>
          <w:szCs w:val="32"/>
        </w:rPr>
      </w:pPr>
      <w:r>
        <w:rPr>
          <w:rFonts w:hint="eastAsia" w:ascii="楷体" w:hAnsi="楷体" w:eastAsia="楷体" w:cs="楷体"/>
          <w:sz w:val="32"/>
          <w:szCs w:val="32"/>
          <w:shd w:val="clear" w:color="auto" w:fill="FFFFFF"/>
        </w:rPr>
        <w:t>七是其他有关文件专门要求通过政府信息公开工作年度报告予以报告的事项</w:t>
      </w:r>
      <w:r>
        <w:rPr>
          <w:rFonts w:hint="eastAsia" w:ascii="仿宋_GB2312" w:eastAsia="仿宋_GB2312" w:cs="仿宋_GB2312"/>
          <w:sz w:val="32"/>
          <w:szCs w:val="32"/>
          <w:shd w:val="clear" w:color="auto" w:fill="FFFFFF"/>
        </w:rPr>
        <w:t>：无。</w:t>
      </w:r>
    </w:p>
    <w:p w14:paraId="3E10E189">
      <w:pPr>
        <w:pStyle w:val="2"/>
        <w:widowControl/>
        <w:spacing w:beforeAutospacing="0" w:afterAutospacing="0" w:line="560" w:lineRule="exact"/>
        <w:ind w:firstLine="640" w:firstLineChars="200"/>
        <w:jc w:val="right"/>
        <w:rPr>
          <w:rFonts w:ascii="仿宋_GB2312" w:eastAsia="仿宋_GB2312" w:cs="仿宋_GB2312"/>
          <w:sz w:val="32"/>
          <w:szCs w:val="32"/>
          <w:shd w:val="clear" w:color="auto" w:fill="FFFFFF"/>
        </w:rPr>
      </w:pPr>
    </w:p>
    <w:p w14:paraId="45251397">
      <w:pPr>
        <w:pStyle w:val="2"/>
        <w:widowControl/>
        <w:spacing w:beforeAutospacing="0" w:afterAutospacing="0" w:line="560" w:lineRule="exact"/>
        <w:ind w:firstLine="640" w:firstLineChars="200"/>
        <w:jc w:val="right"/>
        <w:rPr>
          <w:sz w:val="32"/>
          <w:szCs w:val="32"/>
        </w:rPr>
      </w:pPr>
      <w:r>
        <w:rPr>
          <w:rFonts w:hint="eastAsia" w:ascii="仿宋_GB2312" w:eastAsia="仿宋_GB2312" w:cs="仿宋_GB2312"/>
          <w:sz w:val="32"/>
          <w:szCs w:val="32"/>
          <w:shd w:val="clear" w:color="auto" w:fill="FFFFFF"/>
        </w:rPr>
        <w:t>台儿庄区交通运输局</w:t>
      </w:r>
    </w:p>
    <w:p w14:paraId="3FB15AA5">
      <w:pPr>
        <w:pStyle w:val="2"/>
        <w:widowControl/>
        <w:spacing w:beforeAutospacing="0" w:afterAutospacing="0" w:line="560" w:lineRule="exact"/>
        <w:ind w:firstLine="640" w:firstLineChars="200"/>
        <w:jc w:val="right"/>
      </w:pPr>
      <w:r>
        <w:rPr>
          <w:rFonts w:hint="eastAsia" w:ascii="仿宋_GB2312" w:eastAsia="仿宋_GB2312" w:cs="仿宋_GB2312"/>
          <w:sz w:val="32"/>
          <w:szCs w:val="32"/>
          <w:shd w:val="clear" w:color="auto" w:fill="FFFFFF"/>
        </w:rPr>
        <w:t>2025年1月30日</w:t>
      </w:r>
    </w:p>
    <w:p w14:paraId="7EB1812F">
      <w:pPr>
        <w:pStyle w:val="2"/>
        <w:widowControl/>
        <w:spacing w:line="315" w:lineRule="atLeast"/>
      </w:pPr>
    </w:p>
    <w:p w14:paraId="798D058E"/>
    <w:sectPr>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2B"/>
    <w:rsid w:val="00244B30"/>
    <w:rsid w:val="00471F46"/>
    <w:rsid w:val="00501201"/>
    <w:rsid w:val="00D95B2B"/>
    <w:rsid w:val="0E057FED"/>
    <w:rsid w:val="198A5A5C"/>
    <w:rsid w:val="1A9A3007"/>
    <w:rsid w:val="23B93BF6"/>
    <w:rsid w:val="2E164CF6"/>
    <w:rsid w:val="50356B02"/>
    <w:rsid w:val="79747B26"/>
    <w:rsid w:val="7EC9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3366</Words>
  <Characters>3487</Characters>
  <Lines>26</Lines>
  <Paragraphs>7</Paragraphs>
  <TotalTime>3</TotalTime>
  <ScaleCrop>false</ScaleCrop>
  <LinksUpToDate>false</LinksUpToDate>
  <CharactersWithSpaces>3487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2025-01-24T06:18:00Z</dcterms:created>
  <dc:creator>HR</dc:creator>
  <cp:lastModifiedBy>666</cp:lastModifiedBy>
  <dcterms:modified xsi:type="dcterms:W3CDTF">2025-01-24T08:06:17Z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eyJoZGlkIjoiY2I0NzlmZThlYThmMzNjYzNiMzllYzgzMzkxZTIyMWUiLCJ1c2VySWQiOiI0MjcxMTM0MTkifQ==</vt:lpwstr>
  </property>
  <property fmtid="{D5CDD505-2E9C-101B-9397-08002B2CF9AE}" pid="4" name="ICV">
    <vt:lpwstr>43114F55055F4CDABED4B9208B22EDDA_12</vt:lpwstr>
  </property>
</Properties>
</file>