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38B00">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枣庄市台儿庄区文化和旅游局</w:t>
      </w:r>
    </w:p>
    <w:p w14:paraId="42F75CBE">
      <w:pPr>
        <w:widowControl/>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2024年政府信息公开工作年度报告</w:t>
      </w:r>
    </w:p>
    <w:p w14:paraId="1E10DC28">
      <w:pPr>
        <w:widowControl/>
        <w:spacing w:line="560" w:lineRule="exact"/>
        <w:ind w:firstLine="640" w:firstLineChars="200"/>
        <w:jc w:val="left"/>
        <w:rPr>
          <w:rFonts w:ascii="黑体" w:hAnsi="黑体" w:eastAsia="黑体" w:cs="宋体"/>
          <w:color w:val="000000"/>
          <w:kern w:val="0"/>
          <w:sz w:val="32"/>
          <w:szCs w:val="32"/>
        </w:rPr>
      </w:pPr>
    </w:p>
    <w:p w14:paraId="37566B0B">
      <w:pPr>
        <w:widowControl/>
        <w:spacing w:line="560" w:lineRule="exact"/>
        <w:ind w:firstLine="640" w:firstLineChars="200"/>
        <w:rPr>
          <w:rFonts w:ascii="仿宋_GB2312" w:hAnsi="黑体" w:eastAsia="仿宋_GB2312" w:cs="宋体"/>
          <w:kern w:val="0"/>
          <w:sz w:val="32"/>
          <w:szCs w:val="32"/>
        </w:rPr>
      </w:pPr>
      <w:r>
        <w:rPr>
          <w:rFonts w:hint="eastAsia" w:ascii="仿宋_GB2312" w:eastAsia="仿宋_GB2312"/>
          <w:sz w:val="32"/>
          <w:szCs w:val="32"/>
          <w:shd w:val="clear" w:color="auto" w:fill="FFFFFF"/>
        </w:rPr>
        <w:t>本年度报告根据《中华人民共和国政府信息公开条例》（国务院令第711号，以下简称《条例》）和《台儿庄区人民政府办公室关于做好2024年政府信息公开工作年度报告编制和发布工作的通知》相关要求编制。内容包括总体情况、主动公开政府信息情况、收到和处理政府信息公开申请情况、政府信息公开行政复议和行政诉讼情况、存在的主要问题及改进情况、其他需要报告的事项六个部分。本年度报告中所列数据统计期限从202</w:t>
      </w:r>
      <w:r>
        <w:rPr>
          <w:rFonts w:ascii="仿宋_GB2312" w:eastAsia="仿宋_GB2312"/>
          <w:sz w:val="32"/>
          <w:szCs w:val="32"/>
          <w:shd w:val="clear" w:color="auto" w:fill="FFFFFF"/>
        </w:rPr>
        <w:t>4</w:t>
      </w:r>
      <w:r>
        <w:rPr>
          <w:rFonts w:hint="eastAsia" w:ascii="仿宋_GB2312" w:eastAsia="仿宋_GB2312"/>
          <w:sz w:val="32"/>
          <w:szCs w:val="32"/>
          <w:shd w:val="clear" w:color="auto" w:fill="FFFFFF"/>
        </w:rPr>
        <w:t>年1月1日到202</w:t>
      </w:r>
      <w:r>
        <w:rPr>
          <w:rFonts w:ascii="仿宋_GB2312" w:eastAsia="仿宋_GB2312"/>
          <w:sz w:val="32"/>
          <w:szCs w:val="32"/>
          <w:shd w:val="clear" w:color="auto" w:fill="FFFFFF"/>
        </w:rPr>
        <w:t>4</w:t>
      </w:r>
      <w:r>
        <w:rPr>
          <w:rFonts w:hint="eastAsia" w:ascii="仿宋_GB2312" w:eastAsia="仿宋_GB2312"/>
          <w:sz w:val="32"/>
          <w:szCs w:val="32"/>
          <w:shd w:val="clear" w:color="auto" w:fill="FFFFFF"/>
        </w:rPr>
        <w:t>年12月31日。本年度报告电子版可从枣庄市台儿庄区人民政府门户网站“台儿庄区人民政府”（http://www.tez.gov.cn/）查阅或下载。公众如需进一步咨询了解相关信息，请与枣庄市台儿庄区文化和旅游局联系（地址：</w:t>
      </w:r>
      <w:r>
        <w:rPr>
          <w:rFonts w:hint="eastAsia" w:ascii="仿宋_GB2312" w:hAnsi="仿宋_GB2312" w:eastAsia="仿宋_GB2312" w:cs="仿宋_GB2312"/>
          <w:color w:val="000000"/>
          <w:kern w:val="0"/>
          <w:sz w:val="32"/>
          <w:szCs w:val="32"/>
        </w:rPr>
        <w:t xml:space="preserve">枣庄市台儿庄区康宁路6号;电话:0632—6611762;邮箱:tezqwlj@zz.shandong.cn </w:t>
      </w:r>
      <w:r>
        <w:rPr>
          <w:rFonts w:hint="eastAsia" w:ascii="仿宋_GB2312" w:eastAsia="仿宋_GB2312"/>
          <w:sz w:val="32"/>
          <w:szCs w:val="32"/>
          <w:shd w:val="clear" w:color="auto" w:fill="FFFFFF"/>
        </w:rPr>
        <w:t>）。</w:t>
      </w:r>
    </w:p>
    <w:p w14:paraId="78DD08EB">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14:paraId="6C1F4BC7">
      <w:pPr>
        <w:pStyle w:val="5"/>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度，台儿庄区文化和旅游局按照各级关于政府信息公开工作的有关要求部署，坚持“公开为常态，不公开为例外”，不断加强组织领导和队伍建设，调整完善信息公开目录，充实优化信息公开内容，依法依规做好公开工作，增强文化旅游工作的公开性和透明度。</w:t>
      </w:r>
    </w:p>
    <w:p w14:paraId="7CB03C37">
      <w:pPr>
        <w:pStyle w:val="5"/>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（一）主动公开方面。</w:t>
      </w:r>
      <w:r>
        <w:rPr>
          <w:rFonts w:hint="eastAsia" w:ascii="仿宋_GB2312" w:hAnsi="仿宋_GB2312" w:eastAsia="仿宋_GB2312" w:cs="仿宋_GB2312"/>
          <w:color w:val="000000"/>
          <w:sz w:val="32"/>
          <w:szCs w:val="32"/>
        </w:rPr>
        <w:t>梳理各类应公开的政府信息按照目录分类予以公开，本年度主动公开政府信息54件，其中机构职能1件，行政权力运行公开</w:t>
      </w:r>
      <w:r>
        <w:rPr>
          <w:rFonts w:hint="eastAsia" w:ascii="仿宋_GB2312" w:hAnsi="仿宋_GB2312" w:eastAsia="仿宋_GB2312" w:cs="仿宋_GB2312"/>
          <w:sz w:val="32"/>
          <w:szCs w:val="32"/>
        </w:rPr>
        <w:t>13</w:t>
      </w:r>
      <w:r>
        <w:rPr>
          <w:rFonts w:hint="eastAsia" w:ascii="仿宋_GB2312" w:hAnsi="仿宋_GB2312" w:eastAsia="仿宋_GB2312" w:cs="仿宋_GB2312"/>
          <w:color w:val="000000"/>
          <w:sz w:val="32"/>
          <w:szCs w:val="32"/>
        </w:rPr>
        <w:t>件，重点领域信息公开7件。</w:t>
      </w:r>
    </w:p>
    <w:p w14:paraId="64B51C11">
      <w:pPr>
        <w:pStyle w:val="5"/>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（二）依申请公开方面。</w:t>
      </w:r>
      <w:r>
        <w:rPr>
          <w:rFonts w:hint="eastAsia" w:ascii="仿宋_GB2312" w:hAnsi="仿宋_GB2312" w:eastAsia="仿宋_GB2312" w:cs="仿宋_GB2312"/>
          <w:color w:val="000000"/>
          <w:sz w:val="32"/>
          <w:szCs w:val="32"/>
        </w:rPr>
        <w:t>密切关注申请情况，严格落实依申请公开办理制度，本年度我局收到</w:t>
      </w:r>
      <w:r>
        <w:rPr>
          <w:rFonts w:hint="eastAsia" w:ascii="仿宋_GB2312" w:hAnsi="仿宋_GB2312" w:eastAsia="仿宋_GB2312" w:cs="仿宋_GB2312"/>
          <w:sz w:val="32"/>
          <w:szCs w:val="32"/>
        </w:rPr>
        <w:t>0</w:t>
      </w:r>
      <w:r>
        <w:rPr>
          <w:rFonts w:hint="eastAsia" w:ascii="仿宋_GB2312" w:hAnsi="仿宋_GB2312" w:eastAsia="仿宋_GB2312" w:cs="仿宋_GB2312"/>
          <w:color w:val="000000"/>
          <w:sz w:val="32"/>
          <w:szCs w:val="32"/>
        </w:rPr>
        <w:t>件依申请公开政府信息。</w:t>
      </w:r>
    </w:p>
    <w:p w14:paraId="6C5370D2">
      <w:pPr>
        <w:pStyle w:val="5"/>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（三）政府信息管理方面。</w:t>
      </w:r>
      <w:r>
        <w:rPr>
          <w:rFonts w:hint="eastAsia" w:ascii="仿宋_GB2312" w:hAnsi="仿宋_GB2312" w:eastAsia="仿宋_GB2312" w:cs="仿宋_GB2312"/>
          <w:color w:val="000000"/>
          <w:sz w:val="32"/>
          <w:szCs w:val="32"/>
        </w:rPr>
        <w:t>为了进一步做好我局政务公开工作，确定了具体分管领导和专职工作人员。分管局领导负责全面指导、统筹、协调政务公开工作；专职工作人员负责具体落实和完成区政务公开各项工作任务，做好我局政务公开标准化规范化工作。</w:t>
      </w:r>
    </w:p>
    <w:p w14:paraId="3B2B8911">
      <w:pPr>
        <w:pStyle w:val="5"/>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（四）平台建设方面。</w:t>
      </w:r>
      <w:r>
        <w:rPr>
          <w:rFonts w:hint="eastAsia" w:ascii="仿宋_GB2312" w:hAnsi="仿宋_GB2312" w:eastAsia="仿宋_GB2312" w:cs="仿宋_GB2312"/>
          <w:color w:val="000000"/>
          <w:sz w:val="32"/>
          <w:szCs w:val="32"/>
        </w:rPr>
        <w:t>优化政府信息公开平台，依托台儿庄区政府门户网站的“政府信息公开”专栏信息进行政府信息公开和宣传。大力拓展新媒体应用，以微信公众号等新媒体平台，丰富政府信息公开形式，加强文旅信息的公开和宣传。</w:t>
      </w:r>
    </w:p>
    <w:p w14:paraId="2161B371">
      <w:pPr>
        <w:pStyle w:val="5"/>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（五）监督保障方面。</w:t>
      </w:r>
      <w:r>
        <w:rPr>
          <w:rFonts w:hint="eastAsia" w:ascii="仿宋_GB2312" w:hAnsi="仿宋_GB2312" w:eastAsia="仿宋_GB2312" w:cs="仿宋_GB2312"/>
          <w:color w:val="000000"/>
          <w:sz w:val="32"/>
          <w:szCs w:val="32"/>
        </w:rPr>
        <w:t>不断完善政府信息公开工作机制和信息发布审核流程，提高信息发布的主动性、积极性、创造性，切实保障人民群众知情权、参与权和监督权，做到公开透明。</w:t>
      </w:r>
    </w:p>
    <w:p w14:paraId="11D9FAC2">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14:paraId="36E5F00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6AEB93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2E4DDDF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469792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689A2C0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2A283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4866B70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7DCFA5F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0FE5D5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5F1D366">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72705D41">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43579781">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14:paraId="1A10532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4E216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1155D81B">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4CD0CDA2">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79D1FD83">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14:paraId="1DB60C2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C60440">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14:paraId="27582AC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577226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FE3D7F4">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7F90B3A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73FA81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A50B03E">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6F3BF10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3C56D">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14:paraId="10018DE3">
        <w:tblPrEx>
          <w:tblCellMar>
            <w:top w:w="0" w:type="dxa"/>
            <w:left w:w="108" w:type="dxa"/>
            <w:bottom w:w="0" w:type="dxa"/>
            <w:right w:w="108" w:type="dxa"/>
          </w:tblCellMar>
        </w:tblPrEx>
        <w:trPr>
          <w:trHeight w:val="549"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61741D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E3F4BD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4804D9A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F77BAF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01E6E8E">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1</w:t>
            </w:r>
            <w:r>
              <w:rPr>
                <w:rFonts w:ascii="仿宋_GB2312" w:hAnsi="Calibri" w:eastAsia="仿宋_GB2312" w:cs="Calibri"/>
                <w:color w:val="000000" w:themeColor="text1"/>
                <w:kern w:val="0"/>
                <w:szCs w:val="21"/>
                <w14:textFill>
                  <w14:solidFill>
                    <w14:schemeClr w14:val="tx1"/>
                  </w14:solidFill>
                </w14:textFill>
              </w:rPr>
              <w:t>7</w:t>
            </w:r>
          </w:p>
        </w:tc>
      </w:tr>
      <w:tr w14:paraId="1191F02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B78A62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7CC1319">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52785F1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EFBA99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A8E872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39D1FE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E63E89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F3E4C3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528CD9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A4B52AA">
            <w:pPr>
              <w:widowControl/>
              <w:jc w:val="center"/>
              <w:rPr>
                <w:rFonts w:ascii="仿宋_GB2312" w:hAnsi="Calibri" w:eastAsia="仿宋_GB2312" w:cs="Calibri"/>
                <w:color w:val="000000"/>
                <w:kern w:val="0"/>
                <w:szCs w:val="21"/>
              </w:rPr>
            </w:pPr>
            <w:r>
              <w:rPr>
                <w:rFonts w:ascii="仿宋_GB2312" w:hAnsi="Calibri" w:eastAsia="仿宋_GB2312" w:cs="Calibri"/>
                <w:color w:val="000000"/>
                <w:kern w:val="0"/>
                <w:szCs w:val="21"/>
              </w:rPr>
              <w:t>0</w:t>
            </w:r>
          </w:p>
        </w:tc>
      </w:tr>
    </w:tbl>
    <w:p w14:paraId="6108A510">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14A65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603B8907">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CA2713A">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14:paraId="6428A7C2">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AFE0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5DB26C95">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55EE865F">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083B773C">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57377DDB">
            <w:pPr>
              <w:widowControl/>
              <w:jc w:val="center"/>
              <w:rPr>
                <w:rFonts w:ascii="黑体" w:hAnsi="黑体" w:eastAsia="黑体"/>
                <w:szCs w:val="21"/>
              </w:rPr>
            </w:pPr>
            <w:r>
              <w:rPr>
                <w:rFonts w:hint="eastAsia" w:ascii="黑体" w:hAnsi="黑体" w:eastAsia="黑体"/>
                <w:kern w:val="0"/>
                <w:szCs w:val="21"/>
              </w:rPr>
              <w:t>总计</w:t>
            </w:r>
          </w:p>
        </w:tc>
      </w:tr>
      <w:tr w14:paraId="400E1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546C7A3C">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1D7FBC1C">
            <w:pPr>
              <w:jc w:val="center"/>
              <w:rPr>
                <w:rFonts w:ascii="黑体" w:hAnsi="黑体" w:eastAsia="黑体"/>
                <w:szCs w:val="21"/>
              </w:rPr>
            </w:pPr>
          </w:p>
        </w:tc>
        <w:tc>
          <w:tcPr>
            <w:tcW w:w="540" w:type="dxa"/>
            <w:shd w:val="clear" w:color="auto" w:fill="auto"/>
            <w:tcMar>
              <w:left w:w="108" w:type="dxa"/>
              <w:right w:w="108" w:type="dxa"/>
            </w:tcMar>
            <w:vAlign w:val="center"/>
          </w:tcPr>
          <w:p w14:paraId="18E4B8F6">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177762D0">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16DC5215">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4ED76746">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238999D0">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630C74DA">
            <w:pPr>
              <w:jc w:val="center"/>
              <w:rPr>
                <w:rFonts w:ascii="仿宋_GB2312" w:eastAsia="仿宋_GB2312"/>
                <w:szCs w:val="21"/>
              </w:rPr>
            </w:pPr>
          </w:p>
        </w:tc>
      </w:tr>
      <w:tr w14:paraId="3E240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5DFDD8E3">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704276C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0633F1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DD9B77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71C9E9C">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FE9EF0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808BFE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60A8BA5">
            <w:pPr>
              <w:widowControl/>
              <w:spacing w:line="240" w:lineRule="exact"/>
              <w:jc w:val="center"/>
              <w:rPr>
                <w:rFonts w:ascii="仿宋_GB2312" w:eastAsia="仿宋_GB2312"/>
                <w:szCs w:val="21"/>
              </w:rPr>
            </w:pPr>
            <w:r>
              <w:rPr>
                <w:rFonts w:hint="eastAsia" w:ascii="仿宋_GB2312" w:eastAsia="仿宋_GB2312"/>
                <w:szCs w:val="21"/>
              </w:rPr>
              <w:t>0</w:t>
            </w:r>
          </w:p>
        </w:tc>
      </w:tr>
      <w:tr w14:paraId="44CD6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0D27E661">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29A342C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2AFFCC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8EA3120">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DCD0DC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76BE2B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9BAFA41">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B81763B">
            <w:pPr>
              <w:widowControl/>
              <w:spacing w:line="240" w:lineRule="exact"/>
              <w:jc w:val="center"/>
              <w:rPr>
                <w:rFonts w:ascii="仿宋_GB2312" w:eastAsia="仿宋_GB2312"/>
                <w:szCs w:val="21"/>
              </w:rPr>
            </w:pPr>
            <w:r>
              <w:rPr>
                <w:rFonts w:hint="eastAsia" w:ascii="仿宋_GB2312" w:eastAsia="仿宋_GB2312"/>
                <w:szCs w:val="21"/>
              </w:rPr>
              <w:t>0</w:t>
            </w:r>
          </w:p>
        </w:tc>
      </w:tr>
      <w:tr w14:paraId="52A12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01065E5F">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14:paraId="5EC211AE">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6322F89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6EE10F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99CA271">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BBD4F7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583DA8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6AC0A0C">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FB66E2A">
            <w:pPr>
              <w:widowControl/>
              <w:spacing w:line="240" w:lineRule="exact"/>
              <w:jc w:val="center"/>
              <w:rPr>
                <w:rFonts w:ascii="仿宋_GB2312" w:eastAsia="仿宋_GB2312"/>
                <w:szCs w:val="21"/>
              </w:rPr>
            </w:pPr>
            <w:r>
              <w:rPr>
                <w:rFonts w:hint="eastAsia" w:ascii="仿宋_GB2312" w:eastAsia="仿宋_GB2312"/>
                <w:szCs w:val="21"/>
              </w:rPr>
              <w:t>0</w:t>
            </w:r>
          </w:p>
        </w:tc>
      </w:tr>
      <w:tr w14:paraId="656CF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507167F">
            <w:pPr>
              <w:rPr>
                <w:rFonts w:ascii="黑体" w:hAnsi="黑体" w:eastAsia="黑体"/>
                <w:szCs w:val="21"/>
              </w:rPr>
            </w:pPr>
          </w:p>
        </w:tc>
        <w:tc>
          <w:tcPr>
            <w:tcW w:w="4672" w:type="dxa"/>
            <w:gridSpan w:val="2"/>
            <w:shd w:val="clear" w:color="auto" w:fill="auto"/>
            <w:tcMar>
              <w:left w:w="108" w:type="dxa"/>
              <w:right w:w="108" w:type="dxa"/>
            </w:tcMar>
            <w:vAlign w:val="center"/>
          </w:tcPr>
          <w:p w14:paraId="2EEE1F64">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4316722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AEE092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4E9F8C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8374E8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DC3FD6F">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CC2CF19">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5DCE563">
            <w:pPr>
              <w:widowControl/>
              <w:spacing w:line="240" w:lineRule="exact"/>
              <w:jc w:val="center"/>
              <w:rPr>
                <w:rFonts w:ascii="仿宋_GB2312" w:eastAsia="仿宋_GB2312"/>
                <w:szCs w:val="21"/>
              </w:rPr>
            </w:pPr>
            <w:r>
              <w:rPr>
                <w:rFonts w:hint="eastAsia" w:ascii="仿宋_GB2312" w:eastAsia="仿宋_GB2312"/>
                <w:szCs w:val="21"/>
              </w:rPr>
              <w:t>0</w:t>
            </w:r>
          </w:p>
        </w:tc>
      </w:tr>
      <w:tr w14:paraId="3B583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E1CE962">
            <w:pPr>
              <w:rPr>
                <w:rFonts w:ascii="黑体" w:hAnsi="黑体" w:eastAsia="黑体"/>
                <w:szCs w:val="21"/>
              </w:rPr>
            </w:pPr>
          </w:p>
        </w:tc>
        <w:tc>
          <w:tcPr>
            <w:tcW w:w="1699" w:type="dxa"/>
            <w:vMerge w:val="restart"/>
            <w:shd w:val="clear" w:color="auto" w:fill="auto"/>
            <w:tcMar>
              <w:left w:w="108" w:type="dxa"/>
              <w:right w:w="108" w:type="dxa"/>
            </w:tcMar>
            <w:vAlign w:val="center"/>
          </w:tcPr>
          <w:p w14:paraId="77BBCFC1">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1CFDEF2B">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65E3DDF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031AA0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6F9FD06">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555F97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CF426F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E090E3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4896416">
            <w:pPr>
              <w:widowControl/>
              <w:spacing w:line="240" w:lineRule="exact"/>
              <w:jc w:val="center"/>
              <w:rPr>
                <w:rFonts w:ascii="仿宋_GB2312" w:eastAsia="仿宋_GB2312"/>
                <w:szCs w:val="21"/>
              </w:rPr>
            </w:pPr>
            <w:r>
              <w:rPr>
                <w:rFonts w:hint="eastAsia" w:ascii="仿宋_GB2312" w:eastAsia="仿宋_GB2312"/>
                <w:szCs w:val="21"/>
              </w:rPr>
              <w:t>0</w:t>
            </w:r>
          </w:p>
        </w:tc>
      </w:tr>
      <w:tr w14:paraId="0704D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8761FC0">
            <w:pPr>
              <w:rPr>
                <w:rFonts w:ascii="黑体" w:hAnsi="黑体" w:eastAsia="黑体"/>
                <w:szCs w:val="21"/>
              </w:rPr>
            </w:pPr>
          </w:p>
        </w:tc>
        <w:tc>
          <w:tcPr>
            <w:tcW w:w="1699" w:type="dxa"/>
            <w:vMerge w:val="continue"/>
            <w:shd w:val="clear" w:color="auto" w:fill="auto"/>
            <w:tcMar>
              <w:left w:w="108" w:type="dxa"/>
              <w:right w:w="108" w:type="dxa"/>
            </w:tcMar>
            <w:vAlign w:val="center"/>
          </w:tcPr>
          <w:p w14:paraId="0BAE891C">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97CE8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0D8072F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572594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B77E9A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C58EDE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9FE2D5C">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42B859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18F871A">
            <w:pPr>
              <w:widowControl/>
              <w:spacing w:line="240" w:lineRule="exact"/>
              <w:jc w:val="center"/>
              <w:rPr>
                <w:rFonts w:ascii="仿宋_GB2312" w:eastAsia="仿宋_GB2312"/>
                <w:szCs w:val="21"/>
              </w:rPr>
            </w:pPr>
            <w:r>
              <w:rPr>
                <w:rFonts w:hint="eastAsia" w:ascii="仿宋_GB2312" w:eastAsia="仿宋_GB2312"/>
                <w:szCs w:val="21"/>
              </w:rPr>
              <w:t>0</w:t>
            </w:r>
          </w:p>
        </w:tc>
      </w:tr>
      <w:tr w14:paraId="693EC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69795C3">
            <w:pPr>
              <w:rPr>
                <w:rFonts w:ascii="黑体" w:hAnsi="黑体" w:eastAsia="黑体"/>
                <w:szCs w:val="21"/>
              </w:rPr>
            </w:pPr>
          </w:p>
        </w:tc>
        <w:tc>
          <w:tcPr>
            <w:tcW w:w="1699" w:type="dxa"/>
            <w:vMerge w:val="continue"/>
            <w:shd w:val="clear" w:color="auto" w:fill="auto"/>
            <w:tcMar>
              <w:left w:w="108" w:type="dxa"/>
              <w:right w:w="108" w:type="dxa"/>
            </w:tcMar>
            <w:vAlign w:val="center"/>
          </w:tcPr>
          <w:p w14:paraId="3BA678C0">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15BE93D">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67EBB20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101EF7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D0D901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35F1EA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9F076C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4E6DF4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8A6F10D">
            <w:pPr>
              <w:widowControl/>
              <w:spacing w:line="240" w:lineRule="exact"/>
              <w:jc w:val="center"/>
              <w:rPr>
                <w:rFonts w:ascii="仿宋_GB2312" w:eastAsia="仿宋_GB2312"/>
                <w:szCs w:val="21"/>
              </w:rPr>
            </w:pPr>
            <w:r>
              <w:rPr>
                <w:rFonts w:hint="eastAsia" w:ascii="仿宋_GB2312" w:eastAsia="仿宋_GB2312"/>
                <w:szCs w:val="21"/>
              </w:rPr>
              <w:t>0</w:t>
            </w:r>
          </w:p>
        </w:tc>
      </w:tr>
      <w:tr w14:paraId="5627B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9EE4566">
            <w:pPr>
              <w:rPr>
                <w:rFonts w:ascii="黑体" w:hAnsi="黑体" w:eastAsia="黑体"/>
                <w:szCs w:val="21"/>
              </w:rPr>
            </w:pPr>
          </w:p>
        </w:tc>
        <w:tc>
          <w:tcPr>
            <w:tcW w:w="1699" w:type="dxa"/>
            <w:vMerge w:val="continue"/>
            <w:shd w:val="clear" w:color="auto" w:fill="auto"/>
            <w:tcMar>
              <w:left w:w="108" w:type="dxa"/>
              <w:right w:w="108" w:type="dxa"/>
            </w:tcMar>
            <w:vAlign w:val="center"/>
          </w:tcPr>
          <w:p w14:paraId="4C534F0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096E56E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73368402">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3FD17A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FD6985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CB150B4">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1BA9ABC">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EBDC14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85A29FF">
            <w:pPr>
              <w:widowControl/>
              <w:spacing w:line="240" w:lineRule="exact"/>
              <w:jc w:val="center"/>
              <w:rPr>
                <w:rFonts w:ascii="仿宋_GB2312" w:eastAsia="仿宋_GB2312"/>
                <w:szCs w:val="21"/>
              </w:rPr>
            </w:pPr>
            <w:r>
              <w:rPr>
                <w:rFonts w:hint="eastAsia" w:ascii="仿宋_GB2312" w:eastAsia="仿宋_GB2312"/>
                <w:szCs w:val="21"/>
              </w:rPr>
              <w:t>0</w:t>
            </w:r>
          </w:p>
        </w:tc>
      </w:tr>
      <w:tr w14:paraId="060AB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509F3BB">
            <w:pPr>
              <w:rPr>
                <w:rFonts w:ascii="黑体" w:hAnsi="黑体" w:eastAsia="黑体"/>
                <w:szCs w:val="21"/>
              </w:rPr>
            </w:pPr>
          </w:p>
        </w:tc>
        <w:tc>
          <w:tcPr>
            <w:tcW w:w="1699" w:type="dxa"/>
            <w:vMerge w:val="continue"/>
            <w:shd w:val="clear" w:color="auto" w:fill="auto"/>
            <w:tcMar>
              <w:left w:w="108" w:type="dxa"/>
              <w:right w:w="108" w:type="dxa"/>
            </w:tcMar>
            <w:vAlign w:val="center"/>
          </w:tcPr>
          <w:p w14:paraId="3649913B">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0055CBF3">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24247AF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0F2E51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413B05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BF52CF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9D33FC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27C613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8EDEAB1">
            <w:pPr>
              <w:widowControl/>
              <w:spacing w:line="240" w:lineRule="exact"/>
              <w:jc w:val="center"/>
              <w:rPr>
                <w:rFonts w:ascii="仿宋_GB2312" w:eastAsia="仿宋_GB2312"/>
                <w:szCs w:val="21"/>
              </w:rPr>
            </w:pPr>
            <w:r>
              <w:rPr>
                <w:rFonts w:hint="eastAsia" w:ascii="仿宋_GB2312" w:eastAsia="仿宋_GB2312"/>
                <w:szCs w:val="21"/>
              </w:rPr>
              <w:t>0</w:t>
            </w:r>
          </w:p>
        </w:tc>
      </w:tr>
      <w:tr w14:paraId="1B843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4592005">
            <w:pPr>
              <w:rPr>
                <w:rFonts w:ascii="黑体" w:hAnsi="黑体" w:eastAsia="黑体"/>
                <w:szCs w:val="21"/>
              </w:rPr>
            </w:pPr>
          </w:p>
        </w:tc>
        <w:tc>
          <w:tcPr>
            <w:tcW w:w="1699" w:type="dxa"/>
            <w:vMerge w:val="continue"/>
            <w:shd w:val="clear" w:color="auto" w:fill="auto"/>
            <w:tcMar>
              <w:left w:w="108" w:type="dxa"/>
              <w:right w:w="108" w:type="dxa"/>
            </w:tcMar>
            <w:vAlign w:val="center"/>
          </w:tcPr>
          <w:p w14:paraId="63894BAF">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D932CA2">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6AD7C51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D4E642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82AF19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9F88BD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9709FD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34485E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B62A36B">
            <w:pPr>
              <w:widowControl/>
              <w:spacing w:line="240" w:lineRule="exact"/>
              <w:jc w:val="center"/>
              <w:rPr>
                <w:rFonts w:ascii="仿宋_GB2312" w:eastAsia="仿宋_GB2312"/>
                <w:szCs w:val="21"/>
              </w:rPr>
            </w:pPr>
            <w:r>
              <w:rPr>
                <w:rFonts w:hint="eastAsia" w:ascii="仿宋_GB2312" w:eastAsia="仿宋_GB2312"/>
                <w:szCs w:val="21"/>
              </w:rPr>
              <w:t>0</w:t>
            </w:r>
          </w:p>
        </w:tc>
      </w:tr>
      <w:tr w14:paraId="139AC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F70C678">
            <w:pPr>
              <w:rPr>
                <w:rFonts w:ascii="黑体" w:hAnsi="黑体" w:eastAsia="黑体"/>
                <w:szCs w:val="21"/>
              </w:rPr>
            </w:pPr>
          </w:p>
        </w:tc>
        <w:tc>
          <w:tcPr>
            <w:tcW w:w="1699" w:type="dxa"/>
            <w:vMerge w:val="continue"/>
            <w:shd w:val="clear" w:color="auto" w:fill="auto"/>
            <w:tcMar>
              <w:left w:w="108" w:type="dxa"/>
              <w:right w:w="108" w:type="dxa"/>
            </w:tcMar>
            <w:vAlign w:val="center"/>
          </w:tcPr>
          <w:p w14:paraId="02FC3A25">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A4B8361">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6E04347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F00DAA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FF2A298">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6A3CE2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62620F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5C9FC3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B14209E">
            <w:pPr>
              <w:widowControl/>
              <w:spacing w:line="240" w:lineRule="exact"/>
              <w:jc w:val="center"/>
              <w:rPr>
                <w:rFonts w:ascii="仿宋_GB2312" w:eastAsia="仿宋_GB2312"/>
                <w:szCs w:val="21"/>
              </w:rPr>
            </w:pPr>
            <w:r>
              <w:rPr>
                <w:rFonts w:hint="eastAsia" w:ascii="仿宋_GB2312" w:eastAsia="仿宋_GB2312"/>
                <w:szCs w:val="21"/>
              </w:rPr>
              <w:t>0</w:t>
            </w:r>
          </w:p>
        </w:tc>
      </w:tr>
      <w:tr w14:paraId="2A591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A0519FA">
            <w:pPr>
              <w:rPr>
                <w:rFonts w:ascii="黑体" w:hAnsi="黑体" w:eastAsia="黑体"/>
                <w:szCs w:val="21"/>
              </w:rPr>
            </w:pPr>
          </w:p>
        </w:tc>
        <w:tc>
          <w:tcPr>
            <w:tcW w:w="1699" w:type="dxa"/>
            <w:vMerge w:val="continue"/>
            <w:shd w:val="clear" w:color="auto" w:fill="auto"/>
            <w:tcMar>
              <w:left w:w="108" w:type="dxa"/>
              <w:right w:w="108" w:type="dxa"/>
            </w:tcMar>
            <w:vAlign w:val="center"/>
          </w:tcPr>
          <w:p w14:paraId="751443E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5A60B1D">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7D7C226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761E89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11E83F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535255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D7AC01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A82497E">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267C4DE">
            <w:pPr>
              <w:widowControl/>
              <w:spacing w:line="240" w:lineRule="exact"/>
              <w:jc w:val="center"/>
              <w:rPr>
                <w:rFonts w:ascii="仿宋_GB2312" w:eastAsia="仿宋_GB2312"/>
                <w:szCs w:val="21"/>
              </w:rPr>
            </w:pPr>
            <w:r>
              <w:rPr>
                <w:rFonts w:hint="eastAsia" w:ascii="仿宋_GB2312" w:eastAsia="仿宋_GB2312"/>
                <w:szCs w:val="21"/>
              </w:rPr>
              <w:t>0</w:t>
            </w:r>
          </w:p>
        </w:tc>
      </w:tr>
      <w:tr w14:paraId="34DB1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9CAA295">
            <w:pPr>
              <w:rPr>
                <w:rFonts w:ascii="黑体" w:hAnsi="黑体" w:eastAsia="黑体"/>
                <w:szCs w:val="21"/>
              </w:rPr>
            </w:pPr>
          </w:p>
        </w:tc>
        <w:tc>
          <w:tcPr>
            <w:tcW w:w="1699" w:type="dxa"/>
            <w:vMerge w:val="restart"/>
            <w:shd w:val="clear" w:color="auto" w:fill="auto"/>
            <w:tcMar>
              <w:left w:w="108" w:type="dxa"/>
              <w:right w:w="108" w:type="dxa"/>
            </w:tcMar>
            <w:vAlign w:val="center"/>
          </w:tcPr>
          <w:p w14:paraId="780A82A9">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3571A8FF">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477CC01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94E789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D044AD9">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4E0AB2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11E9DB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8AF57D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8395414">
            <w:pPr>
              <w:widowControl/>
              <w:spacing w:line="240" w:lineRule="exact"/>
              <w:jc w:val="center"/>
              <w:rPr>
                <w:rFonts w:ascii="仿宋_GB2312" w:eastAsia="仿宋_GB2312"/>
                <w:szCs w:val="21"/>
              </w:rPr>
            </w:pPr>
            <w:r>
              <w:rPr>
                <w:rFonts w:hint="eastAsia" w:ascii="仿宋_GB2312" w:eastAsia="仿宋_GB2312"/>
                <w:szCs w:val="21"/>
              </w:rPr>
              <w:t>0</w:t>
            </w:r>
          </w:p>
        </w:tc>
      </w:tr>
      <w:tr w14:paraId="32D2F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BDEDBEE">
            <w:pPr>
              <w:rPr>
                <w:rFonts w:ascii="黑体" w:hAnsi="黑体" w:eastAsia="黑体"/>
                <w:szCs w:val="21"/>
              </w:rPr>
            </w:pPr>
          </w:p>
        </w:tc>
        <w:tc>
          <w:tcPr>
            <w:tcW w:w="1699" w:type="dxa"/>
            <w:vMerge w:val="continue"/>
            <w:shd w:val="clear" w:color="auto" w:fill="auto"/>
            <w:tcMar>
              <w:left w:w="108" w:type="dxa"/>
              <w:right w:w="108" w:type="dxa"/>
            </w:tcMar>
            <w:vAlign w:val="center"/>
          </w:tcPr>
          <w:p w14:paraId="143B9F48">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680A9450">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44C343E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7E2C1D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F04BE6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54EAB6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FEF261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B02115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6D9D1CA">
            <w:pPr>
              <w:widowControl/>
              <w:spacing w:line="240" w:lineRule="exact"/>
              <w:jc w:val="center"/>
              <w:rPr>
                <w:rFonts w:ascii="仿宋_GB2312" w:eastAsia="仿宋_GB2312"/>
                <w:szCs w:val="21"/>
              </w:rPr>
            </w:pPr>
            <w:r>
              <w:rPr>
                <w:rFonts w:hint="eastAsia" w:ascii="仿宋_GB2312" w:eastAsia="仿宋_GB2312"/>
                <w:szCs w:val="21"/>
              </w:rPr>
              <w:t>0</w:t>
            </w:r>
          </w:p>
        </w:tc>
      </w:tr>
      <w:tr w14:paraId="34BB5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871E0F0">
            <w:pPr>
              <w:rPr>
                <w:rFonts w:ascii="黑体" w:hAnsi="黑体" w:eastAsia="黑体"/>
                <w:szCs w:val="21"/>
              </w:rPr>
            </w:pPr>
          </w:p>
        </w:tc>
        <w:tc>
          <w:tcPr>
            <w:tcW w:w="1699" w:type="dxa"/>
            <w:vMerge w:val="continue"/>
            <w:shd w:val="clear" w:color="auto" w:fill="auto"/>
            <w:tcMar>
              <w:left w:w="108" w:type="dxa"/>
              <w:right w:w="108" w:type="dxa"/>
            </w:tcMar>
            <w:vAlign w:val="center"/>
          </w:tcPr>
          <w:p w14:paraId="7639594A">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75E44F6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5D95C5C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D575A1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2E5CAD0">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1586F7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E4158F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9000E76">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CD22370">
            <w:pPr>
              <w:widowControl/>
              <w:spacing w:line="240" w:lineRule="exact"/>
              <w:jc w:val="center"/>
              <w:rPr>
                <w:rFonts w:ascii="仿宋_GB2312" w:eastAsia="仿宋_GB2312"/>
                <w:szCs w:val="21"/>
              </w:rPr>
            </w:pPr>
            <w:r>
              <w:rPr>
                <w:rFonts w:hint="eastAsia" w:ascii="仿宋_GB2312" w:eastAsia="仿宋_GB2312"/>
                <w:szCs w:val="21"/>
              </w:rPr>
              <w:t>0</w:t>
            </w:r>
          </w:p>
        </w:tc>
      </w:tr>
      <w:tr w14:paraId="6B7D4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97DC883">
            <w:pPr>
              <w:rPr>
                <w:rFonts w:ascii="黑体" w:hAnsi="黑体" w:eastAsia="黑体"/>
                <w:szCs w:val="21"/>
              </w:rPr>
            </w:pPr>
          </w:p>
        </w:tc>
        <w:tc>
          <w:tcPr>
            <w:tcW w:w="1699" w:type="dxa"/>
            <w:vMerge w:val="restart"/>
            <w:shd w:val="clear" w:color="auto" w:fill="auto"/>
            <w:tcMar>
              <w:left w:w="108" w:type="dxa"/>
              <w:right w:w="108" w:type="dxa"/>
            </w:tcMar>
            <w:vAlign w:val="center"/>
          </w:tcPr>
          <w:p w14:paraId="79880CBE">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3A88FD80">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2C78BDF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A10FA7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1712CC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D043CE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035192B">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9BCE40C">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3FF0A28">
            <w:pPr>
              <w:widowControl/>
              <w:spacing w:line="240" w:lineRule="exact"/>
              <w:jc w:val="center"/>
              <w:rPr>
                <w:rFonts w:ascii="仿宋_GB2312" w:eastAsia="仿宋_GB2312"/>
                <w:szCs w:val="21"/>
              </w:rPr>
            </w:pPr>
            <w:r>
              <w:rPr>
                <w:rFonts w:hint="eastAsia" w:ascii="仿宋_GB2312" w:eastAsia="仿宋_GB2312"/>
                <w:szCs w:val="21"/>
              </w:rPr>
              <w:t>0</w:t>
            </w:r>
          </w:p>
        </w:tc>
      </w:tr>
      <w:tr w14:paraId="13351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3EB5B49">
            <w:pPr>
              <w:rPr>
                <w:rFonts w:ascii="黑体" w:hAnsi="黑体" w:eastAsia="黑体"/>
                <w:szCs w:val="21"/>
              </w:rPr>
            </w:pPr>
          </w:p>
        </w:tc>
        <w:tc>
          <w:tcPr>
            <w:tcW w:w="1699" w:type="dxa"/>
            <w:vMerge w:val="continue"/>
            <w:shd w:val="clear" w:color="auto" w:fill="auto"/>
            <w:tcMar>
              <w:left w:w="108" w:type="dxa"/>
              <w:right w:w="108" w:type="dxa"/>
            </w:tcMar>
            <w:vAlign w:val="center"/>
          </w:tcPr>
          <w:p w14:paraId="51C49872">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BDE72A1">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0750332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7AEBDE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FABACC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4F90E2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0993A4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0680E7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378783D">
            <w:pPr>
              <w:widowControl/>
              <w:spacing w:line="240" w:lineRule="exact"/>
              <w:jc w:val="center"/>
              <w:rPr>
                <w:rFonts w:ascii="仿宋_GB2312" w:eastAsia="仿宋_GB2312"/>
                <w:szCs w:val="21"/>
              </w:rPr>
            </w:pPr>
            <w:r>
              <w:rPr>
                <w:rFonts w:hint="eastAsia" w:ascii="仿宋_GB2312" w:eastAsia="仿宋_GB2312"/>
                <w:szCs w:val="21"/>
              </w:rPr>
              <w:t>0</w:t>
            </w:r>
          </w:p>
        </w:tc>
      </w:tr>
      <w:tr w14:paraId="280C8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ACB5DF1">
            <w:pPr>
              <w:rPr>
                <w:rFonts w:ascii="黑体" w:hAnsi="黑体" w:eastAsia="黑体"/>
                <w:szCs w:val="21"/>
              </w:rPr>
            </w:pPr>
          </w:p>
        </w:tc>
        <w:tc>
          <w:tcPr>
            <w:tcW w:w="1699" w:type="dxa"/>
            <w:vMerge w:val="continue"/>
            <w:shd w:val="clear" w:color="auto" w:fill="auto"/>
            <w:tcMar>
              <w:left w:w="108" w:type="dxa"/>
              <w:right w:w="108" w:type="dxa"/>
            </w:tcMar>
            <w:vAlign w:val="center"/>
          </w:tcPr>
          <w:p w14:paraId="268CAFCC">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21C2FDD">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61BC886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D9D6C2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8FDEC48">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060647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67D6D4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9E8E8C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65AAF36">
            <w:pPr>
              <w:widowControl/>
              <w:spacing w:line="240" w:lineRule="exact"/>
              <w:jc w:val="center"/>
              <w:rPr>
                <w:rFonts w:ascii="仿宋_GB2312" w:eastAsia="仿宋_GB2312"/>
                <w:szCs w:val="21"/>
              </w:rPr>
            </w:pPr>
            <w:r>
              <w:rPr>
                <w:rFonts w:hint="eastAsia" w:ascii="仿宋_GB2312" w:eastAsia="仿宋_GB2312"/>
                <w:szCs w:val="21"/>
              </w:rPr>
              <w:t>0</w:t>
            </w:r>
          </w:p>
        </w:tc>
      </w:tr>
      <w:tr w14:paraId="44A01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2575F3C6">
            <w:pPr>
              <w:rPr>
                <w:rFonts w:ascii="黑体" w:hAnsi="黑体" w:eastAsia="黑体"/>
                <w:szCs w:val="21"/>
              </w:rPr>
            </w:pPr>
          </w:p>
        </w:tc>
        <w:tc>
          <w:tcPr>
            <w:tcW w:w="1699" w:type="dxa"/>
            <w:vMerge w:val="continue"/>
            <w:shd w:val="clear" w:color="auto" w:fill="auto"/>
            <w:tcMar>
              <w:left w:w="108" w:type="dxa"/>
              <w:right w:w="108" w:type="dxa"/>
            </w:tcMar>
            <w:vAlign w:val="center"/>
          </w:tcPr>
          <w:p w14:paraId="66A5F697">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8692BD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5FF3F21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630262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52DD77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CD30E9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0E37DF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20E80E6">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A5FDCE7">
            <w:pPr>
              <w:widowControl/>
              <w:spacing w:line="240" w:lineRule="exact"/>
              <w:jc w:val="center"/>
              <w:rPr>
                <w:rFonts w:ascii="仿宋_GB2312" w:eastAsia="仿宋_GB2312"/>
                <w:szCs w:val="21"/>
              </w:rPr>
            </w:pPr>
            <w:r>
              <w:rPr>
                <w:rFonts w:hint="eastAsia" w:ascii="仿宋_GB2312" w:eastAsia="仿宋_GB2312"/>
                <w:szCs w:val="21"/>
              </w:rPr>
              <w:t>0</w:t>
            </w:r>
          </w:p>
        </w:tc>
      </w:tr>
      <w:tr w14:paraId="69AF9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5540DF1E">
            <w:pPr>
              <w:rPr>
                <w:rFonts w:ascii="黑体" w:hAnsi="黑体" w:eastAsia="黑体"/>
                <w:szCs w:val="21"/>
              </w:rPr>
            </w:pPr>
          </w:p>
        </w:tc>
        <w:tc>
          <w:tcPr>
            <w:tcW w:w="1699" w:type="dxa"/>
            <w:vMerge w:val="continue"/>
            <w:shd w:val="clear" w:color="auto" w:fill="auto"/>
            <w:tcMar>
              <w:left w:w="108" w:type="dxa"/>
              <w:right w:w="108" w:type="dxa"/>
            </w:tcMar>
            <w:vAlign w:val="center"/>
          </w:tcPr>
          <w:p w14:paraId="456E32F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EB5BEE4">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6FA19CA6">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35E61E8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27A881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4D9582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C641EB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EE75997">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12521E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677B06B">
            <w:pPr>
              <w:widowControl/>
              <w:spacing w:line="240" w:lineRule="exact"/>
              <w:jc w:val="center"/>
              <w:rPr>
                <w:rFonts w:ascii="仿宋_GB2312" w:eastAsia="仿宋_GB2312"/>
                <w:szCs w:val="21"/>
              </w:rPr>
            </w:pPr>
            <w:r>
              <w:rPr>
                <w:rFonts w:hint="eastAsia" w:ascii="仿宋_GB2312" w:eastAsia="仿宋_GB2312"/>
                <w:szCs w:val="21"/>
              </w:rPr>
              <w:t>0</w:t>
            </w:r>
          </w:p>
        </w:tc>
      </w:tr>
      <w:tr w14:paraId="16303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5E10BF64">
            <w:pPr>
              <w:rPr>
                <w:rFonts w:ascii="黑体" w:hAnsi="黑体" w:eastAsia="黑体"/>
                <w:szCs w:val="21"/>
              </w:rPr>
            </w:pPr>
          </w:p>
        </w:tc>
        <w:tc>
          <w:tcPr>
            <w:tcW w:w="1699" w:type="dxa"/>
            <w:vMerge w:val="restart"/>
            <w:shd w:val="clear" w:color="auto" w:fill="auto"/>
            <w:tcMar>
              <w:left w:w="108" w:type="dxa"/>
              <w:right w:w="108" w:type="dxa"/>
            </w:tcMar>
            <w:vAlign w:val="center"/>
          </w:tcPr>
          <w:p w14:paraId="4A0A999E">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71B4FB4D">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1DEB6A7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585ED8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2F046C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9BF433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874C0C7">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894FD95">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5BF0AD0">
            <w:pPr>
              <w:widowControl/>
              <w:spacing w:line="240" w:lineRule="exact"/>
              <w:jc w:val="center"/>
              <w:rPr>
                <w:rFonts w:ascii="仿宋_GB2312" w:eastAsia="仿宋_GB2312"/>
                <w:szCs w:val="21"/>
              </w:rPr>
            </w:pPr>
            <w:r>
              <w:rPr>
                <w:rFonts w:hint="eastAsia" w:ascii="仿宋_GB2312" w:eastAsia="仿宋_GB2312"/>
                <w:szCs w:val="21"/>
              </w:rPr>
              <w:t>0</w:t>
            </w:r>
          </w:p>
        </w:tc>
      </w:tr>
      <w:tr w14:paraId="1029B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5A023BEC">
            <w:pPr>
              <w:rPr>
                <w:rFonts w:ascii="黑体" w:hAnsi="黑体" w:eastAsia="黑体"/>
                <w:szCs w:val="21"/>
              </w:rPr>
            </w:pPr>
          </w:p>
        </w:tc>
        <w:tc>
          <w:tcPr>
            <w:tcW w:w="1699" w:type="dxa"/>
            <w:vMerge w:val="continue"/>
            <w:shd w:val="clear" w:color="auto" w:fill="auto"/>
            <w:tcMar>
              <w:left w:w="108" w:type="dxa"/>
              <w:right w:w="108" w:type="dxa"/>
            </w:tcMar>
            <w:vAlign w:val="center"/>
          </w:tcPr>
          <w:p w14:paraId="2CBA8271">
            <w:pPr>
              <w:widowControl/>
              <w:spacing w:line="300" w:lineRule="exact"/>
              <w:rPr>
                <w:rFonts w:ascii="黑体" w:hAnsi="黑体" w:eastAsia="黑体"/>
                <w:kern w:val="0"/>
                <w:szCs w:val="21"/>
              </w:rPr>
            </w:pPr>
          </w:p>
        </w:tc>
        <w:tc>
          <w:tcPr>
            <w:tcW w:w="2973" w:type="dxa"/>
            <w:shd w:val="clear" w:color="auto" w:fill="auto"/>
            <w:vAlign w:val="center"/>
          </w:tcPr>
          <w:p w14:paraId="75D3308E">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2619002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0B6643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F5D4900">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4DF480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723CEDB">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EBA498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DA88566">
            <w:pPr>
              <w:widowControl/>
              <w:spacing w:line="240" w:lineRule="exact"/>
              <w:jc w:val="center"/>
              <w:rPr>
                <w:rFonts w:ascii="仿宋_GB2312" w:eastAsia="仿宋_GB2312"/>
                <w:szCs w:val="21"/>
              </w:rPr>
            </w:pPr>
            <w:r>
              <w:rPr>
                <w:rFonts w:hint="eastAsia" w:ascii="仿宋_GB2312" w:eastAsia="仿宋_GB2312"/>
                <w:szCs w:val="21"/>
              </w:rPr>
              <w:t>0</w:t>
            </w:r>
          </w:p>
        </w:tc>
      </w:tr>
      <w:tr w14:paraId="4429F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7E85A94">
            <w:pPr>
              <w:rPr>
                <w:rFonts w:ascii="黑体" w:hAnsi="黑体" w:eastAsia="黑体"/>
                <w:szCs w:val="21"/>
              </w:rPr>
            </w:pPr>
          </w:p>
        </w:tc>
        <w:tc>
          <w:tcPr>
            <w:tcW w:w="1699" w:type="dxa"/>
            <w:vMerge w:val="continue"/>
            <w:shd w:val="clear" w:color="auto" w:fill="auto"/>
            <w:tcMar>
              <w:left w:w="108" w:type="dxa"/>
              <w:right w:w="108" w:type="dxa"/>
            </w:tcMar>
            <w:vAlign w:val="center"/>
          </w:tcPr>
          <w:p w14:paraId="51FE5ECC">
            <w:pPr>
              <w:widowControl/>
              <w:spacing w:line="300" w:lineRule="exact"/>
              <w:rPr>
                <w:rFonts w:ascii="黑体" w:hAnsi="黑体" w:eastAsia="黑体"/>
                <w:kern w:val="0"/>
                <w:szCs w:val="21"/>
              </w:rPr>
            </w:pPr>
          </w:p>
        </w:tc>
        <w:tc>
          <w:tcPr>
            <w:tcW w:w="2973" w:type="dxa"/>
            <w:shd w:val="clear" w:color="auto" w:fill="auto"/>
            <w:vAlign w:val="center"/>
          </w:tcPr>
          <w:p w14:paraId="693C89EA">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31AFD5E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611B62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5ABBCF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3AE49D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0211F7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4A8B34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84AB282">
            <w:pPr>
              <w:widowControl/>
              <w:spacing w:line="240" w:lineRule="exact"/>
              <w:jc w:val="center"/>
              <w:rPr>
                <w:rFonts w:ascii="仿宋_GB2312" w:eastAsia="仿宋_GB2312"/>
                <w:szCs w:val="21"/>
              </w:rPr>
            </w:pPr>
            <w:r>
              <w:rPr>
                <w:rFonts w:hint="eastAsia" w:ascii="仿宋_GB2312" w:eastAsia="仿宋_GB2312"/>
                <w:szCs w:val="21"/>
              </w:rPr>
              <w:t>0</w:t>
            </w:r>
          </w:p>
        </w:tc>
      </w:tr>
      <w:tr w14:paraId="3B60C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3B8A76C">
            <w:pPr>
              <w:rPr>
                <w:rFonts w:ascii="黑体" w:hAnsi="黑体" w:eastAsia="黑体"/>
                <w:szCs w:val="21"/>
              </w:rPr>
            </w:pPr>
          </w:p>
        </w:tc>
        <w:tc>
          <w:tcPr>
            <w:tcW w:w="4672" w:type="dxa"/>
            <w:gridSpan w:val="2"/>
            <w:shd w:val="clear" w:color="auto" w:fill="auto"/>
            <w:tcMar>
              <w:left w:w="108" w:type="dxa"/>
              <w:right w:w="108" w:type="dxa"/>
            </w:tcMar>
            <w:vAlign w:val="center"/>
          </w:tcPr>
          <w:p w14:paraId="64E5129C">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0C8896A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4DC9EF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6BCC6E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0CFA77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242BAD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1712F8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EC384B1">
            <w:pPr>
              <w:widowControl/>
              <w:spacing w:line="240" w:lineRule="exact"/>
              <w:jc w:val="center"/>
              <w:rPr>
                <w:rFonts w:ascii="仿宋_GB2312" w:eastAsia="仿宋_GB2312"/>
                <w:szCs w:val="21"/>
              </w:rPr>
            </w:pPr>
            <w:r>
              <w:rPr>
                <w:rFonts w:hint="eastAsia" w:ascii="仿宋_GB2312" w:eastAsia="仿宋_GB2312"/>
                <w:szCs w:val="21"/>
              </w:rPr>
              <w:t>0</w:t>
            </w:r>
          </w:p>
        </w:tc>
      </w:tr>
      <w:tr w14:paraId="0D1A6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4E16869B">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078C895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09BB72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FE352E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7D6356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1D2ACCB">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823315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F5B0D48">
            <w:pPr>
              <w:widowControl/>
              <w:spacing w:line="240" w:lineRule="exact"/>
              <w:jc w:val="center"/>
              <w:rPr>
                <w:rFonts w:ascii="仿宋_GB2312" w:eastAsia="仿宋_GB2312"/>
                <w:szCs w:val="21"/>
              </w:rPr>
            </w:pPr>
            <w:r>
              <w:rPr>
                <w:rFonts w:hint="eastAsia" w:ascii="仿宋_GB2312" w:eastAsia="仿宋_GB2312"/>
                <w:szCs w:val="21"/>
              </w:rPr>
              <w:t>0</w:t>
            </w:r>
          </w:p>
        </w:tc>
      </w:tr>
    </w:tbl>
    <w:p w14:paraId="05A19114">
      <w:pPr>
        <w:spacing w:line="560" w:lineRule="exact"/>
        <w:ind w:firstLine="640" w:firstLineChars="200"/>
        <w:rPr>
          <w:rFonts w:ascii="仿宋_GB2312" w:eastAsia="仿宋_GB2312"/>
          <w:sz w:val="32"/>
          <w:szCs w:val="32"/>
        </w:rPr>
      </w:pPr>
      <w:r>
        <w:rPr>
          <w:rFonts w:hint="eastAsia" w:ascii="黑体" w:hAnsi="黑体" w:eastAsia="黑体" w:cs="宋体"/>
          <w:color w:val="000000"/>
          <w:kern w:val="0"/>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D8D7E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CB143E">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FCA368">
            <w:pPr>
              <w:widowControl/>
              <w:jc w:val="center"/>
              <w:rPr>
                <w:rFonts w:ascii="黑体" w:hAnsi="黑体" w:eastAsia="黑体"/>
              </w:rPr>
            </w:pPr>
            <w:r>
              <w:rPr>
                <w:rFonts w:ascii="黑体" w:hAnsi="黑体" w:eastAsia="黑体"/>
                <w:kern w:val="0"/>
                <w:sz w:val="20"/>
              </w:rPr>
              <w:t>行政诉讼</w:t>
            </w:r>
          </w:p>
        </w:tc>
      </w:tr>
      <w:tr w14:paraId="0A746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A48372">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14:paraId="3D4228FA">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1C48A07">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5F6F39">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C8EDA8">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14:paraId="3733818E">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499D6F">
            <w:pPr>
              <w:widowControl/>
              <w:spacing w:line="320" w:lineRule="exact"/>
              <w:jc w:val="center"/>
              <w:rPr>
                <w:rFonts w:ascii="黑体" w:hAnsi="黑体" w:eastAsia="黑体"/>
                <w:kern w:val="0"/>
                <w:sz w:val="20"/>
              </w:rPr>
            </w:pPr>
            <w:r>
              <w:rPr>
                <w:rFonts w:ascii="黑体" w:hAnsi="黑体" w:eastAsia="黑体"/>
                <w:kern w:val="0"/>
                <w:sz w:val="20"/>
              </w:rPr>
              <w:t>总</w:t>
            </w:r>
          </w:p>
          <w:p w14:paraId="299E2048">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3E1F78">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1DC02D">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78F708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9071D8">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1E6E8DB">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4A72EA">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F9CE1B">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1EB9BE">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4A00DFC">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5E9BEB2">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7621EE">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14:paraId="72CD8456">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CC9BB1">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14:paraId="6E621757">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41B887">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963C4E">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335528">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14:paraId="3F898528">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0D598B">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778B3F58">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CCF676">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B03CE0">
            <w:pPr>
              <w:widowControl/>
              <w:jc w:val="center"/>
              <w:rPr>
                <w:rFonts w:ascii="黑体" w:hAnsi="黑体" w:eastAsia="黑体"/>
              </w:rPr>
            </w:pPr>
            <w:r>
              <w:rPr>
                <w:rFonts w:ascii="黑体" w:hAnsi="黑体" w:eastAsia="黑体"/>
                <w:kern w:val="0"/>
                <w:sz w:val="20"/>
              </w:rPr>
              <w:t>总计</w:t>
            </w:r>
          </w:p>
        </w:tc>
      </w:tr>
      <w:tr w14:paraId="027D6D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688D75">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E5F9E84">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5F5133F">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C2E3D69">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4D6E054">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0E1785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FB03F6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919142B">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188F2C">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52055A3">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8CE735D">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1A98827">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F7C5CA0">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6E5047A">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DC7AA5A">
            <w:pPr>
              <w:widowControl/>
              <w:spacing w:after="180"/>
              <w:jc w:val="center"/>
            </w:pPr>
            <w:r>
              <w:rPr>
                <w:rFonts w:hint="eastAsia"/>
              </w:rPr>
              <w:t>0</w:t>
            </w:r>
          </w:p>
        </w:tc>
      </w:tr>
    </w:tbl>
    <w:p w14:paraId="2219A30F">
      <w:pPr>
        <w:widowControl/>
        <w:jc w:val="left"/>
        <w:rPr>
          <w:rFonts w:ascii="仿宋_GB2312" w:hAnsi="Calibri" w:eastAsia="仿宋_GB2312" w:cs="Calibri"/>
          <w:color w:val="FF0000"/>
          <w:kern w:val="0"/>
          <w:szCs w:val="21"/>
        </w:rPr>
      </w:pPr>
    </w:p>
    <w:p w14:paraId="561BB273">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14:paraId="5920EDC5">
      <w:pPr>
        <w:pStyle w:val="5"/>
        <w:spacing w:before="0" w:beforeAutospacing="0" w:after="0" w:afterAutospacing="0" w:line="560" w:lineRule="exact"/>
        <w:ind w:firstLine="640" w:firstLineChars="200"/>
        <w:jc w:val="both"/>
        <w:rPr>
          <w:rFonts w:hint="eastAsia" w:ascii="仿宋_GB2312" w:hAnsi="sans-serif" w:eastAsia="仿宋_GB2312" w:cs="sans-serif"/>
          <w:color w:val="000000"/>
          <w:sz w:val="32"/>
          <w:szCs w:val="32"/>
        </w:rPr>
      </w:pPr>
      <w:r>
        <w:rPr>
          <w:rFonts w:hint="eastAsia" w:ascii="仿宋_GB2312" w:hAnsi="仿宋" w:eastAsia="仿宋_GB2312" w:cs="仿宋"/>
          <w:color w:val="000000"/>
          <w:sz w:val="32"/>
          <w:szCs w:val="32"/>
        </w:rPr>
        <w:t>2024年，我局政务公开工作做了大量的工作，取得了一定的成绩，但仍还有不少问题，主要表现在：一是对政务公开认识不完全到位问题，《政府信息公开条例》修订后，对政府信息公开工作提出了新要求。在这种情况下，对政府信息公开工作的培训没有完全跟上，政务公开工作力量不够，队伍建设需要加强，工作人员多兼职，业务水平有待提高。二是公开力度需进一步加大。主动公开目录有待进一步细化，公开手段不够丰富，公开内容不够深化、细化，部分政务信息公开制度文件发布格式不规范。</w:t>
      </w:r>
    </w:p>
    <w:p w14:paraId="06447089">
      <w:pPr>
        <w:pStyle w:val="5"/>
        <w:spacing w:before="0" w:beforeAutospacing="0" w:after="0" w:afterAutospacing="0" w:line="560" w:lineRule="exact"/>
        <w:ind w:firstLine="640" w:firstLineChars="200"/>
        <w:jc w:val="both"/>
        <w:rPr>
          <w:rFonts w:ascii="sans-serif" w:hAnsi="sans-serif" w:eastAsia="sans-serif" w:cs="sans-serif"/>
          <w:color w:val="000000"/>
          <w:sz w:val="32"/>
          <w:szCs w:val="32"/>
        </w:rPr>
      </w:pPr>
      <w:r>
        <w:rPr>
          <w:rFonts w:hint="eastAsia" w:ascii="仿宋_GB2312" w:hAnsi="仿宋" w:eastAsia="仿宋_GB2312" w:cs="仿宋"/>
          <w:color w:val="000000"/>
          <w:sz w:val="32"/>
          <w:szCs w:val="32"/>
        </w:rPr>
        <w:t>下一步，将不断强化局系统政府信息公开工作人员队伍建设，强化政府信息公开工作培训，切实提高工作人员对政府信息公开工作的认识水平和工作能力。同时，优化政府信息公开机制，提高社会知晓率；提高科室、下属单位从业人员的思想认识，压实责任，加大公开力度。</w:t>
      </w:r>
    </w:p>
    <w:p w14:paraId="62D151D9">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14:paraId="2A28F823">
      <w:pPr>
        <w:widowControl/>
        <w:spacing w:line="560" w:lineRule="exact"/>
        <w:ind w:firstLine="640" w:firstLineChars="200"/>
        <w:jc w:val="left"/>
        <w:rPr>
          <w:rFonts w:hint="eastAsia" w:ascii="楷体_GB2312" w:hAnsi="仿宋" w:eastAsia="楷体_GB2312" w:cs="仿宋"/>
          <w:color w:val="000000"/>
          <w:kern w:val="0"/>
          <w:sz w:val="32"/>
          <w:szCs w:val="32"/>
        </w:rPr>
      </w:pPr>
      <w:r>
        <w:rPr>
          <w:rFonts w:hint="eastAsia" w:ascii="楷体_GB2312" w:hAnsi="仿宋" w:eastAsia="楷体_GB2312" w:cs="仿宋"/>
          <w:color w:val="000000"/>
          <w:kern w:val="0"/>
          <w:sz w:val="32"/>
          <w:szCs w:val="32"/>
        </w:rPr>
        <w:t>（一）收取信息处理费情况方面。</w:t>
      </w:r>
    </w:p>
    <w:p w14:paraId="72DC446E">
      <w:pPr>
        <w:widowControl/>
        <w:spacing w:line="56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2024年,区文化和文旅局不存在因信息处理收取相关费用的情况。</w:t>
      </w:r>
    </w:p>
    <w:p w14:paraId="3626B243">
      <w:pPr>
        <w:widowControl/>
        <w:spacing w:line="560" w:lineRule="exact"/>
        <w:ind w:firstLine="640" w:firstLineChars="200"/>
        <w:jc w:val="left"/>
        <w:rPr>
          <w:rFonts w:hint="eastAsia" w:ascii="楷体_GB2312" w:hAnsi="仿宋" w:eastAsia="楷体_GB2312" w:cs="仿宋"/>
          <w:color w:val="000000"/>
          <w:kern w:val="0"/>
          <w:sz w:val="32"/>
          <w:szCs w:val="32"/>
        </w:rPr>
      </w:pPr>
      <w:r>
        <w:rPr>
          <w:rFonts w:hint="eastAsia" w:ascii="楷体_GB2312" w:hAnsi="仿宋" w:eastAsia="楷体_GB2312" w:cs="仿宋"/>
          <w:color w:val="000000"/>
          <w:kern w:val="0"/>
          <w:sz w:val="32"/>
          <w:szCs w:val="32"/>
        </w:rPr>
        <w:t>（二）落实上级年度政务公开工作要点情况。</w:t>
      </w:r>
    </w:p>
    <w:p w14:paraId="5BA3E5C9">
      <w:pPr>
        <w:widowControl/>
        <w:spacing w:line="56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区文旅局严格按照《中华人民共和国政府信息公开条例》（国务院令第711号）等相关文件要求,结合文化和旅游工作实际,明确各科室职责分工,扎实推进政务公开，高质高效、依法依规完成政务公开工作要点。</w:t>
      </w:r>
    </w:p>
    <w:p w14:paraId="06B07C2B">
      <w:pPr>
        <w:pStyle w:val="5"/>
        <w:spacing w:before="0" w:beforeAutospacing="0" w:after="0" w:afterAutospacing="0" w:line="560" w:lineRule="exact"/>
        <w:ind w:firstLine="640" w:firstLineChars="200"/>
        <w:jc w:val="both"/>
        <w:rPr>
          <w:rFonts w:hint="eastAsia" w:ascii="楷体_GB2312" w:hAnsi="仿宋" w:eastAsia="楷体_GB2312" w:cs="仿宋"/>
          <w:color w:val="000000"/>
          <w:sz w:val="32"/>
          <w:szCs w:val="32"/>
        </w:rPr>
      </w:pPr>
      <w:r>
        <w:rPr>
          <w:rFonts w:hint="eastAsia" w:ascii="楷体_GB2312" w:hAnsi="仿宋" w:eastAsia="楷体_GB2312" w:cs="仿宋"/>
          <w:color w:val="000000"/>
          <w:sz w:val="32"/>
          <w:szCs w:val="32"/>
        </w:rPr>
        <w:t>（三）人大代表建议和政协提案办理结果公开情况。</w:t>
      </w:r>
    </w:p>
    <w:p w14:paraId="096EF525">
      <w:pPr>
        <w:pStyle w:val="5"/>
        <w:spacing w:before="0" w:beforeAutospacing="0" w:after="0" w:afterAutospacing="0" w:line="560"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2024年,区文化和旅游局建议提案办理22条，均已按时办理答复，及时高效公开。</w:t>
      </w:r>
    </w:p>
    <w:p w14:paraId="755798F7">
      <w:pPr>
        <w:widowControl/>
        <w:spacing w:line="560" w:lineRule="exact"/>
        <w:ind w:firstLine="640" w:firstLineChars="200"/>
        <w:jc w:val="left"/>
        <w:rPr>
          <w:rFonts w:hint="eastAsia" w:ascii="仿宋_GB2312" w:hAnsi="仿宋" w:eastAsia="仿宋_GB2312" w:cs="仿宋"/>
          <w:color w:val="000000"/>
          <w:kern w:val="0"/>
          <w:sz w:val="32"/>
          <w:szCs w:val="32"/>
        </w:rPr>
      </w:pPr>
      <w:r>
        <w:rPr>
          <w:rFonts w:hint="eastAsia" w:ascii="楷体_GB2312" w:hAnsi="仿宋" w:eastAsia="楷体_GB2312" w:cs="仿宋"/>
          <w:color w:val="000000"/>
          <w:kern w:val="0"/>
          <w:sz w:val="32"/>
          <w:szCs w:val="32"/>
        </w:rPr>
        <w:t>（四）政务公开工作创新情况:</w:t>
      </w:r>
      <w:r>
        <w:rPr>
          <w:rFonts w:hint="eastAsia" w:ascii="仿宋_GB2312" w:hAnsi="仿宋" w:eastAsia="仿宋_GB2312" w:cs="仿宋"/>
          <w:color w:val="000000"/>
          <w:kern w:val="0"/>
          <w:sz w:val="32"/>
          <w:szCs w:val="32"/>
        </w:rPr>
        <w:t>无。</w:t>
      </w:r>
    </w:p>
    <w:p w14:paraId="5D7B0235">
      <w:pPr>
        <w:widowControl/>
        <w:numPr>
          <w:numId w:val="0"/>
        </w:numPr>
        <w:spacing w:line="560" w:lineRule="exact"/>
        <w:ind w:firstLine="640" w:firstLineChars="200"/>
        <w:jc w:val="left"/>
        <w:rPr>
          <w:rFonts w:hint="eastAsia" w:ascii="楷体_GB2312" w:hAnsi="仿宋" w:eastAsia="楷体_GB2312" w:cs="仿宋"/>
          <w:color w:val="000000"/>
          <w:kern w:val="0"/>
          <w:sz w:val="32"/>
          <w:szCs w:val="32"/>
        </w:rPr>
      </w:pPr>
      <w:bookmarkStart w:id="10" w:name="_GoBack"/>
      <w:bookmarkEnd w:id="10"/>
      <w:r>
        <w:rPr>
          <w:rFonts w:hint="eastAsia" w:ascii="楷体_GB2312" w:hAnsi="仿宋" w:eastAsia="楷体_GB2312" w:cs="仿宋"/>
          <w:color w:val="000000"/>
          <w:sz w:val="32"/>
          <w:szCs w:val="32"/>
        </w:rPr>
        <w:t>（</w:t>
      </w:r>
      <w:r>
        <w:rPr>
          <w:rFonts w:hint="eastAsia" w:ascii="楷体_GB2312" w:hAnsi="仿宋" w:eastAsia="楷体_GB2312" w:cs="仿宋"/>
          <w:color w:val="000000"/>
          <w:sz w:val="32"/>
          <w:szCs w:val="32"/>
          <w:lang w:val="en-US" w:eastAsia="zh-CN"/>
        </w:rPr>
        <w:t>五</w:t>
      </w:r>
      <w:r>
        <w:rPr>
          <w:rFonts w:hint="eastAsia" w:ascii="楷体_GB2312" w:hAnsi="仿宋" w:eastAsia="楷体_GB2312" w:cs="仿宋"/>
          <w:color w:val="000000"/>
          <w:sz w:val="32"/>
          <w:szCs w:val="32"/>
        </w:rPr>
        <w:t>）</w:t>
      </w:r>
      <w:r>
        <w:rPr>
          <w:rFonts w:hint="eastAsia" w:ascii="楷体_GB2312" w:hAnsi="仿宋" w:eastAsia="楷体_GB2312" w:cs="仿宋"/>
          <w:color w:val="000000"/>
          <w:kern w:val="0"/>
          <w:sz w:val="32"/>
          <w:szCs w:val="32"/>
        </w:rPr>
        <w:t>本行政机关政府信息公开工作年度报告数据统计需要说明的事项。</w:t>
      </w:r>
    </w:p>
    <w:p w14:paraId="2EC255C9">
      <w:pPr>
        <w:widowControl/>
        <w:spacing w:line="560" w:lineRule="exact"/>
        <w:ind w:firstLine="640" w:firstLineChars="200"/>
        <w:jc w:val="left"/>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报告中所列数据的统计期限自2024年1月1日起至2024年12月31日止。</w:t>
      </w:r>
    </w:p>
    <w:p w14:paraId="7A6C8861">
      <w:pPr>
        <w:widowControl/>
        <w:numPr>
          <w:numId w:val="0"/>
        </w:numPr>
        <w:spacing w:line="560" w:lineRule="exact"/>
        <w:ind w:firstLine="640" w:firstLineChars="200"/>
        <w:jc w:val="left"/>
        <w:rPr>
          <w:rFonts w:hint="eastAsia" w:ascii="仿宋_GB2312" w:hAnsi="仿宋" w:eastAsia="仿宋_GB2312" w:cs="仿宋"/>
          <w:color w:val="000000"/>
          <w:kern w:val="0"/>
          <w:sz w:val="32"/>
          <w:szCs w:val="32"/>
        </w:rPr>
      </w:pPr>
      <w:r>
        <w:rPr>
          <w:rFonts w:hint="eastAsia" w:ascii="楷体_GB2312" w:hAnsi="仿宋" w:eastAsia="楷体_GB2312" w:cs="仿宋"/>
          <w:color w:val="000000"/>
          <w:sz w:val="32"/>
          <w:szCs w:val="32"/>
        </w:rPr>
        <w:t>（</w:t>
      </w:r>
      <w:r>
        <w:rPr>
          <w:rFonts w:hint="eastAsia" w:ascii="楷体_GB2312" w:hAnsi="仿宋" w:eastAsia="楷体_GB2312" w:cs="仿宋"/>
          <w:color w:val="000000"/>
          <w:sz w:val="32"/>
          <w:szCs w:val="32"/>
          <w:lang w:val="en-US" w:eastAsia="zh-CN"/>
        </w:rPr>
        <w:t>六</w:t>
      </w:r>
      <w:r>
        <w:rPr>
          <w:rFonts w:hint="eastAsia" w:ascii="楷体_GB2312" w:hAnsi="仿宋" w:eastAsia="楷体_GB2312" w:cs="仿宋"/>
          <w:color w:val="000000"/>
          <w:sz w:val="32"/>
          <w:szCs w:val="32"/>
        </w:rPr>
        <w:t>）</w:t>
      </w:r>
      <w:r>
        <w:rPr>
          <w:rFonts w:hint="eastAsia" w:ascii="楷体_GB2312" w:hAnsi="仿宋" w:eastAsia="楷体_GB2312" w:cs="仿宋"/>
          <w:color w:val="000000"/>
          <w:kern w:val="0"/>
          <w:sz w:val="32"/>
          <w:szCs w:val="32"/>
        </w:rPr>
        <w:t>本行政机关认为需要报告的其他事项:</w:t>
      </w:r>
      <w:r>
        <w:rPr>
          <w:rFonts w:hint="eastAsia" w:ascii="仿宋_GB2312" w:hAnsi="仿宋" w:eastAsia="仿宋_GB2312" w:cs="仿宋"/>
          <w:color w:val="000000"/>
          <w:kern w:val="0"/>
          <w:sz w:val="32"/>
          <w:szCs w:val="32"/>
        </w:rPr>
        <w:t>无。</w:t>
      </w:r>
    </w:p>
    <w:p w14:paraId="6ECD253E">
      <w:pPr>
        <w:widowControl/>
        <w:numPr>
          <w:numId w:val="0"/>
        </w:numPr>
        <w:spacing w:line="560" w:lineRule="exact"/>
        <w:ind w:firstLine="640" w:firstLineChars="200"/>
        <w:jc w:val="left"/>
        <w:rPr>
          <w:rFonts w:hint="eastAsia" w:ascii="仿宋_GB2312" w:hAnsi="仿宋" w:eastAsia="仿宋_GB2312" w:cs="仿宋"/>
          <w:color w:val="000000"/>
          <w:kern w:val="0"/>
          <w:sz w:val="32"/>
          <w:szCs w:val="32"/>
        </w:rPr>
      </w:pPr>
      <w:r>
        <w:rPr>
          <w:rFonts w:hint="eastAsia" w:ascii="楷体_GB2312" w:hAnsi="仿宋" w:eastAsia="楷体_GB2312" w:cs="仿宋"/>
          <w:color w:val="000000"/>
          <w:sz w:val="32"/>
          <w:szCs w:val="32"/>
        </w:rPr>
        <w:t>（</w:t>
      </w:r>
      <w:r>
        <w:rPr>
          <w:rFonts w:hint="eastAsia" w:ascii="楷体_GB2312" w:hAnsi="仿宋" w:eastAsia="楷体_GB2312" w:cs="仿宋"/>
          <w:color w:val="000000"/>
          <w:sz w:val="32"/>
          <w:szCs w:val="32"/>
          <w:lang w:val="en-US" w:eastAsia="zh-CN"/>
        </w:rPr>
        <w:t>七</w:t>
      </w:r>
      <w:r>
        <w:rPr>
          <w:rFonts w:hint="eastAsia" w:ascii="楷体_GB2312" w:hAnsi="仿宋" w:eastAsia="楷体_GB2312" w:cs="仿宋"/>
          <w:color w:val="000000"/>
          <w:sz w:val="32"/>
          <w:szCs w:val="32"/>
        </w:rPr>
        <w:t>）</w:t>
      </w:r>
      <w:r>
        <w:rPr>
          <w:rFonts w:hint="eastAsia" w:ascii="楷体_GB2312" w:hAnsi="仿宋" w:eastAsia="楷体_GB2312" w:cs="仿宋"/>
          <w:color w:val="000000"/>
          <w:kern w:val="0"/>
          <w:sz w:val="32"/>
          <w:szCs w:val="32"/>
        </w:rPr>
        <w:t>其他有关文件专门要求通过政府信息公开工作年度报告予以报告的事项:</w:t>
      </w:r>
      <w:r>
        <w:rPr>
          <w:rFonts w:hint="eastAsia" w:ascii="仿宋_GB2312" w:hAnsi="仿宋" w:eastAsia="仿宋_GB2312" w:cs="仿宋"/>
          <w:color w:val="000000"/>
          <w:kern w:val="0"/>
          <w:sz w:val="32"/>
          <w:szCs w:val="32"/>
        </w:rPr>
        <w:t>无。</w:t>
      </w:r>
    </w:p>
    <w:p w14:paraId="7CBDD4AF">
      <w:pPr>
        <w:widowControl/>
        <w:spacing w:line="560" w:lineRule="exact"/>
        <w:ind w:firstLine="640" w:firstLineChars="200"/>
        <w:jc w:val="left"/>
        <w:rPr>
          <w:rFonts w:hint="eastAsia" w:ascii="仿宋_GB2312" w:hAnsi="仿宋_GB2312" w:eastAsia="仿宋_GB2312" w:cs="仿宋_GB2312"/>
          <w:color w:val="FF0000"/>
          <w:sz w:val="32"/>
          <w:szCs w:val="32"/>
        </w:rPr>
      </w:pPr>
    </w:p>
    <w:p w14:paraId="144EF765">
      <w:pPr>
        <w:widowControl/>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台儿庄区文化和旅游局</w:t>
      </w:r>
    </w:p>
    <w:p w14:paraId="0AC7E6AE">
      <w:pPr>
        <w:widowControl/>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sectPr>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97"/>
    <w:rsid w:val="0001010D"/>
    <w:rsid w:val="000B0324"/>
    <w:rsid w:val="000F604A"/>
    <w:rsid w:val="0011597E"/>
    <w:rsid w:val="0018599F"/>
    <w:rsid w:val="001F6537"/>
    <w:rsid w:val="001F67D4"/>
    <w:rsid w:val="00201864"/>
    <w:rsid w:val="00295756"/>
    <w:rsid w:val="00303C0E"/>
    <w:rsid w:val="00307F2F"/>
    <w:rsid w:val="00330A81"/>
    <w:rsid w:val="003A0E4C"/>
    <w:rsid w:val="004C5073"/>
    <w:rsid w:val="0050524D"/>
    <w:rsid w:val="00553EC8"/>
    <w:rsid w:val="0055761A"/>
    <w:rsid w:val="0057083F"/>
    <w:rsid w:val="00603B97"/>
    <w:rsid w:val="00697607"/>
    <w:rsid w:val="00713155"/>
    <w:rsid w:val="0079162B"/>
    <w:rsid w:val="007A4997"/>
    <w:rsid w:val="007C5667"/>
    <w:rsid w:val="007E4D9D"/>
    <w:rsid w:val="00841A7C"/>
    <w:rsid w:val="00845524"/>
    <w:rsid w:val="00941230"/>
    <w:rsid w:val="00946DE1"/>
    <w:rsid w:val="00982058"/>
    <w:rsid w:val="00AB0BDA"/>
    <w:rsid w:val="00B264FB"/>
    <w:rsid w:val="00B62A17"/>
    <w:rsid w:val="00BC1D38"/>
    <w:rsid w:val="00BC4A9F"/>
    <w:rsid w:val="00BE5336"/>
    <w:rsid w:val="00D31580"/>
    <w:rsid w:val="00D60689"/>
    <w:rsid w:val="00D92452"/>
    <w:rsid w:val="00E37B48"/>
    <w:rsid w:val="00E37B4E"/>
    <w:rsid w:val="00E471F5"/>
    <w:rsid w:val="00E73F30"/>
    <w:rsid w:val="00E80502"/>
    <w:rsid w:val="00EA7180"/>
    <w:rsid w:val="00F04D99"/>
    <w:rsid w:val="00F24577"/>
    <w:rsid w:val="00F275A7"/>
    <w:rsid w:val="00FA3E3F"/>
    <w:rsid w:val="00FA7E8E"/>
    <w:rsid w:val="02567DD8"/>
    <w:rsid w:val="0395061E"/>
    <w:rsid w:val="03E4453D"/>
    <w:rsid w:val="03F477D5"/>
    <w:rsid w:val="041673FF"/>
    <w:rsid w:val="05461655"/>
    <w:rsid w:val="05F96B1C"/>
    <w:rsid w:val="06BC0CE3"/>
    <w:rsid w:val="08FB7424"/>
    <w:rsid w:val="0AAC08A2"/>
    <w:rsid w:val="0D517B69"/>
    <w:rsid w:val="0E9F632A"/>
    <w:rsid w:val="0EA00571"/>
    <w:rsid w:val="107628D6"/>
    <w:rsid w:val="16CB3E8B"/>
    <w:rsid w:val="16DB4AD2"/>
    <w:rsid w:val="176222AA"/>
    <w:rsid w:val="1BD3557C"/>
    <w:rsid w:val="1CD73949"/>
    <w:rsid w:val="1E367B50"/>
    <w:rsid w:val="1F427A29"/>
    <w:rsid w:val="1F5D6C09"/>
    <w:rsid w:val="1FBC03BF"/>
    <w:rsid w:val="20022B6B"/>
    <w:rsid w:val="20352354"/>
    <w:rsid w:val="21523844"/>
    <w:rsid w:val="216947A1"/>
    <w:rsid w:val="22A62465"/>
    <w:rsid w:val="242F57FB"/>
    <w:rsid w:val="24427F45"/>
    <w:rsid w:val="284E47A9"/>
    <w:rsid w:val="29465249"/>
    <w:rsid w:val="2E322CA8"/>
    <w:rsid w:val="2EB87AA3"/>
    <w:rsid w:val="30616328"/>
    <w:rsid w:val="3610272F"/>
    <w:rsid w:val="37125CF2"/>
    <w:rsid w:val="38513721"/>
    <w:rsid w:val="3BFF5A1E"/>
    <w:rsid w:val="403F45DA"/>
    <w:rsid w:val="422B63B5"/>
    <w:rsid w:val="4B8E6D19"/>
    <w:rsid w:val="5EAB65A8"/>
    <w:rsid w:val="5EB3775B"/>
    <w:rsid w:val="5FDB4BA2"/>
    <w:rsid w:val="607A5FB2"/>
    <w:rsid w:val="623766DA"/>
    <w:rsid w:val="62E43C7E"/>
    <w:rsid w:val="62FA53CC"/>
    <w:rsid w:val="636A0F87"/>
    <w:rsid w:val="637D184D"/>
    <w:rsid w:val="681F2844"/>
    <w:rsid w:val="6A0F4E31"/>
    <w:rsid w:val="6A9920DB"/>
    <w:rsid w:val="6BF17D68"/>
    <w:rsid w:val="6D373B10"/>
    <w:rsid w:val="6E225007"/>
    <w:rsid w:val="71A97B23"/>
    <w:rsid w:val="723E4C0C"/>
    <w:rsid w:val="773533BE"/>
    <w:rsid w:val="78144413"/>
    <w:rsid w:val="785D02A4"/>
    <w:rsid w:val="78964A36"/>
    <w:rsid w:val="78D229CE"/>
    <w:rsid w:val="7AA6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6D47-91B3-4F2E-90D9-A0EACE1369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2496</Words>
  <Characters>2615</Characters>
  <Lines>21</Lines>
  <Paragraphs>6</Paragraphs>
  <TotalTime>3</TotalTime>
  <ScaleCrop>false</ScaleCrop>
  <LinksUpToDate>false</LinksUpToDate>
  <CharactersWithSpaces>2616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2025-01-20T01:38:00Z</dcterms:created>
  <dc:creator>China</dc:creator>
  <cp:lastModifiedBy>JY</cp:lastModifiedBy>
  <cp:lastPrinted>2021-01-19T00:38:00Z</cp:lastPrinted>
  <dcterms:modified xsi:type="dcterms:W3CDTF">2025-01-20T01:59:31Z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E987D302E52441FAA3EB38248B935CB4_13</vt:lpwstr>
  </property>
  <property fmtid="{D5CDD505-2E9C-101B-9397-08002B2CF9AE}" pid="4" name="KSOTemplateDocerSaveRecord">
    <vt:lpwstr>eyJoZGlkIjoiNmU3ZDljYWIxZTgxNzYwNGUwMGEzYjAzZTY0YzZlYmMifQ==</vt:lpwstr>
  </property>
</Properties>
</file>