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DF1B4">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台儿庄区财政局</w:t>
      </w:r>
    </w:p>
    <w:p w14:paraId="66EB43E4">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jc w:val="center"/>
        <w:textAlignment w:val="auto"/>
        <w:rPr>
          <w:rFonts w:ascii="仿宋_GB2312" w:eastAsia="仿宋_GB2312" w:cs="仿宋_GB2312"/>
          <w:color w:val="000000"/>
          <w:sz w:val="31"/>
          <w:szCs w:val="31"/>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4</w:t>
      </w:r>
      <w:r>
        <w:rPr>
          <w:rFonts w:hint="eastAsia" w:ascii="方正小标宋简体" w:hAnsi="方正小标宋简体" w:eastAsia="方正小标宋简体" w:cs="方正小标宋简体"/>
          <w:color w:val="000000"/>
          <w:sz w:val="44"/>
          <w:szCs w:val="44"/>
        </w:rPr>
        <w:t>年政府信息公开工作年度报告</w:t>
      </w:r>
    </w:p>
    <w:p w14:paraId="266E54E5">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ascii="仿宋_GB2312" w:eastAsia="仿宋_GB2312" w:cs="仿宋_GB2312"/>
          <w:color w:val="000000"/>
          <w:sz w:val="31"/>
          <w:szCs w:val="31"/>
        </w:rPr>
      </w:pPr>
    </w:p>
    <w:p w14:paraId="00D2F0AC">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15"/>
        <w:jc w:val="both"/>
        <w:textAlignment w:val="auto"/>
        <w:rPr>
          <w:rFonts w:ascii="仿宋_GB2312" w:hAnsi="宋体" w:eastAsia="仿宋_GB2312" w:cs="仿宋_GB2312"/>
          <w:color w:val="000000"/>
          <w:sz w:val="31"/>
          <w:szCs w:val="31"/>
        </w:rPr>
      </w:pPr>
      <w:r>
        <w:rPr>
          <w:rFonts w:hint="eastAsia" w:ascii="仿宋_GB2312" w:hAnsi="宋体" w:eastAsia="仿宋_GB2312" w:cs="仿宋_GB2312"/>
          <w:color w:val="000000"/>
          <w:sz w:val="31"/>
          <w:szCs w:val="31"/>
          <w:lang w:val="en-US" w:eastAsia="zh-CN"/>
        </w:rPr>
        <w:t>本报告根据《中华人民共和国政府信息公开条例》（以下简称《条例》）等有关要求编制，包括总体情况、主动公开政府信息情况、收到和处理政府信息公开申请情况、政府信息公开行政复议和行政诉讼情况、存在的主要问题及改进情况、其他需要报告的事项等六个部分。</w:t>
      </w:r>
      <w:r>
        <w:rPr>
          <w:rFonts w:hint="eastAsia" w:ascii="仿宋_GB2312" w:hAnsi="宋体" w:eastAsia="仿宋_GB2312" w:cs="仿宋_GB2312"/>
          <w:color w:val="000000"/>
          <w:sz w:val="31"/>
          <w:szCs w:val="31"/>
        </w:rPr>
        <w:t>报告中所列数据的统计时限为202</w:t>
      </w:r>
      <w:r>
        <w:rPr>
          <w:rFonts w:hint="eastAsia" w:ascii="仿宋_GB2312" w:hAnsi="宋体" w:eastAsia="仿宋_GB2312" w:cs="仿宋_GB2312"/>
          <w:color w:val="000000"/>
          <w:sz w:val="31"/>
          <w:szCs w:val="31"/>
          <w:lang w:val="en-US" w:eastAsia="zh-CN"/>
        </w:rPr>
        <w:t>4</w:t>
      </w:r>
      <w:r>
        <w:rPr>
          <w:rFonts w:hint="eastAsia" w:ascii="仿宋_GB2312" w:hAnsi="宋体" w:eastAsia="仿宋_GB2312" w:cs="仿宋_GB2312"/>
          <w:color w:val="000000"/>
          <w:sz w:val="31"/>
          <w:szCs w:val="31"/>
        </w:rPr>
        <w:t>年1月1日至202</w:t>
      </w:r>
      <w:r>
        <w:rPr>
          <w:rFonts w:hint="eastAsia" w:ascii="仿宋_GB2312" w:hAnsi="宋体" w:eastAsia="仿宋_GB2312" w:cs="仿宋_GB2312"/>
          <w:color w:val="000000"/>
          <w:sz w:val="31"/>
          <w:szCs w:val="31"/>
          <w:lang w:val="en-US" w:eastAsia="zh-CN"/>
        </w:rPr>
        <w:t>4</w:t>
      </w:r>
      <w:r>
        <w:rPr>
          <w:rFonts w:hint="eastAsia" w:ascii="仿宋_GB2312" w:hAnsi="宋体" w:eastAsia="仿宋_GB2312" w:cs="仿宋_GB2312"/>
          <w:color w:val="000000"/>
          <w:sz w:val="31"/>
          <w:szCs w:val="31"/>
        </w:rPr>
        <w:t>年12月31日。本报告在“枣庄市台儿庄区人民政府门户网站”（http://www.tez.gov.cn/）公</w:t>
      </w:r>
      <w:r>
        <w:rPr>
          <w:rFonts w:hint="eastAsia" w:ascii="仿宋_GB2312" w:hAnsi="宋体" w:eastAsia="仿宋_GB2312" w:cs="仿宋_GB2312"/>
          <w:color w:val="000000"/>
          <w:sz w:val="31"/>
          <w:szCs w:val="31"/>
          <w:lang w:val="en-US" w:eastAsia="zh-CN"/>
        </w:rPr>
        <w:t>开发</w:t>
      </w:r>
      <w:r>
        <w:rPr>
          <w:rFonts w:hint="eastAsia" w:ascii="仿宋_GB2312" w:hAnsi="宋体" w:eastAsia="仿宋_GB2312" w:cs="仿宋_GB2312"/>
          <w:color w:val="000000"/>
          <w:sz w:val="31"/>
          <w:szCs w:val="31"/>
        </w:rPr>
        <w:t>布。</w:t>
      </w:r>
      <w:r>
        <w:rPr>
          <w:rFonts w:hint="eastAsia" w:ascii="仿宋_GB2312" w:hAnsi="宋体" w:eastAsia="仿宋_GB2312" w:cs="仿宋_GB2312"/>
          <w:color w:val="000000"/>
          <w:sz w:val="31"/>
          <w:szCs w:val="31"/>
          <w:lang w:val="en-US" w:eastAsia="zh-CN"/>
        </w:rPr>
        <w:t>如</w:t>
      </w:r>
      <w:r>
        <w:rPr>
          <w:rFonts w:hint="eastAsia" w:ascii="仿宋_GB2312" w:hAnsi="宋体" w:eastAsia="仿宋_GB2312" w:cs="仿宋_GB2312"/>
          <w:color w:val="000000"/>
          <w:sz w:val="31"/>
          <w:szCs w:val="31"/>
        </w:rPr>
        <w:t>对本报告有疑问，</w:t>
      </w:r>
      <w:r>
        <w:rPr>
          <w:rFonts w:hint="eastAsia" w:ascii="仿宋_GB2312" w:hAnsi="宋体" w:eastAsia="仿宋_GB2312" w:cs="仿宋_GB2312"/>
          <w:color w:val="000000"/>
          <w:sz w:val="31"/>
          <w:szCs w:val="31"/>
          <w:lang w:val="en-US" w:eastAsia="zh-CN"/>
        </w:rPr>
        <w:t>请</w:t>
      </w:r>
      <w:r>
        <w:rPr>
          <w:rFonts w:hint="eastAsia" w:ascii="仿宋_GB2312" w:hAnsi="宋体" w:eastAsia="仿宋_GB2312" w:cs="仿宋_GB2312"/>
          <w:color w:val="000000"/>
          <w:sz w:val="31"/>
          <w:szCs w:val="31"/>
        </w:rPr>
        <w:t>与台儿庄区</w:t>
      </w:r>
      <w:r>
        <w:rPr>
          <w:rFonts w:hint="eastAsia" w:ascii="仿宋_GB2312" w:hAnsi="宋体" w:eastAsia="仿宋_GB2312" w:cs="仿宋_GB2312"/>
          <w:color w:val="000000"/>
          <w:sz w:val="31"/>
          <w:szCs w:val="31"/>
          <w:lang w:val="en-US" w:eastAsia="zh-CN"/>
        </w:rPr>
        <w:t>财政局</w:t>
      </w:r>
      <w:r>
        <w:rPr>
          <w:rFonts w:hint="eastAsia" w:ascii="仿宋_GB2312" w:hAnsi="宋体" w:eastAsia="仿宋_GB2312" w:cs="仿宋_GB2312"/>
          <w:color w:val="000000"/>
          <w:sz w:val="31"/>
          <w:szCs w:val="31"/>
        </w:rPr>
        <w:t>办公室联系（地址：</w:t>
      </w:r>
      <w:r>
        <w:rPr>
          <w:rFonts w:hint="eastAsia" w:ascii="仿宋_GB2312" w:hAnsi="宋体" w:eastAsia="仿宋_GB2312" w:cs="仿宋_GB2312"/>
          <w:color w:val="000000"/>
          <w:sz w:val="31"/>
          <w:szCs w:val="31"/>
          <w:lang w:val="en-US" w:eastAsia="zh-CN"/>
        </w:rPr>
        <w:t>枣庄市</w:t>
      </w:r>
      <w:r>
        <w:rPr>
          <w:rFonts w:hint="eastAsia" w:ascii="仿宋_GB2312" w:hAnsi="宋体" w:eastAsia="仿宋_GB2312" w:cs="仿宋_GB2312"/>
          <w:color w:val="000000"/>
          <w:sz w:val="31"/>
          <w:szCs w:val="31"/>
        </w:rPr>
        <w:t>台儿庄区</w:t>
      </w:r>
      <w:r>
        <w:rPr>
          <w:rFonts w:hint="eastAsia" w:ascii="仿宋_GB2312" w:hAnsi="宋体" w:eastAsia="仿宋_GB2312" w:cs="仿宋_GB2312"/>
          <w:color w:val="000000"/>
          <w:sz w:val="31"/>
          <w:szCs w:val="31"/>
          <w:lang w:val="en-US" w:eastAsia="zh-CN"/>
        </w:rPr>
        <w:t>文化路278号</w:t>
      </w:r>
      <w:r>
        <w:rPr>
          <w:rFonts w:hint="eastAsia" w:ascii="仿宋_GB2312" w:hAnsi="宋体" w:eastAsia="仿宋_GB2312" w:cs="仿宋_GB2312"/>
          <w:color w:val="000000"/>
          <w:sz w:val="31"/>
          <w:szCs w:val="31"/>
        </w:rPr>
        <w:t>；邮编：277400；电话：0632-66</w:t>
      </w:r>
      <w:r>
        <w:rPr>
          <w:rFonts w:hint="eastAsia" w:ascii="仿宋_GB2312" w:hAnsi="宋体" w:eastAsia="仿宋_GB2312" w:cs="仿宋_GB2312"/>
          <w:color w:val="000000"/>
          <w:sz w:val="31"/>
          <w:szCs w:val="31"/>
          <w:lang w:val="en-US" w:eastAsia="zh-CN"/>
        </w:rPr>
        <w:t>33827</w:t>
      </w:r>
      <w:r>
        <w:rPr>
          <w:rFonts w:hint="eastAsia" w:ascii="仿宋_GB2312" w:hAnsi="宋体" w:eastAsia="仿宋_GB2312" w:cs="仿宋_GB2312"/>
          <w:color w:val="000000"/>
          <w:sz w:val="31"/>
          <w:szCs w:val="31"/>
        </w:rPr>
        <w:t>；电子邮箱：tez</w:t>
      </w:r>
      <w:r>
        <w:rPr>
          <w:rFonts w:hint="eastAsia" w:ascii="仿宋_GB2312" w:hAnsi="宋体" w:eastAsia="仿宋_GB2312" w:cs="仿宋_GB2312"/>
          <w:color w:val="000000"/>
          <w:sz w:val="31"/>
          <w:szCs w:val="31"/>
          <w:lang w:val="en-US" w:eastAsia="zh-CN"/>
        </w:rPr>
        <w:t>czj</w:t>
      </w:r>
      <w:r>
        <w:rPr>
          <w:rFonts w:hint="eastAsia" w:ascii="仿宋_GB2312" w:hAnsi="宋体" w:eastAsia="仿宋_GB2312" w:cs="仿宋_GB2312"/>
          <w:color w:val="000000"/>
          <w:sz w:val="31"/>
          <w:szCs w:val="31"/>
        </w:rPr>
        <w:t>@zz.shandong.cn）。</w:t>
      </w:r>
    </w:p>
    <w:p w14:paraId="6F3FBF77">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sz w:val="32"/>
          <w:szCs w:val="32"/>
        </w:rPr>
      </w:pPr>
      <w:r>
        <w:rPr>
          <w:rFonts w:ascii="黑体" w:hAnsi="宋体" w:eastAsia="黑体" w:cs="黑体"/>
          <w:color w:val="000000"/>
          <w:sz w:val="32"/>
          <w:szCs w:val="32"/>
        </w:rPr>
        <w:t>一、</w:t>
      </w:r>
      <w:r>
        <w:rPr>
          <w:rFonts w:hint="eastAsia" w:ascii="黑体" w:hAnsi="宋体" w:eastAsia="黑体" w:cs="黑体"/>
          <w:color w:val="000000"/>
          <w:sz w:val="32"/>
          <w:szCs w:val="32"/>
        </w:rPr>
        <w:t>总体情况</w:t>
      </w:r>
    </w:p>
    <w:p w14:paraId="77BF93B0">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15"/>
        <w:jc w:val="both"/>
        <w:textAlignment w:val="auto"/>
        <w:rPr>
          <w:sz w:val="32"/>
          <w:szCs w:val="32"/>
        </w:rPr>
      </w:pPr>
      <w:r>
        <w:rPr>
          <w:rFonts w:ascii="仿宋_GB2312" w:hAnsi="宋体" w:eastAsia="仿宋_GB2312" w:cs="仿宋_GB2312"/>
          <w:color w:val="000000"/>
          <w:sz w:val="31"/>
          <w:szCs w:val="31"/>
        </w:rPr>
        <w:t>202</w:t>
      </w:r>
      <w:r>
        <w:rPr>
          <w:rFonts w:hint="eastAsia" w:ascii="仿宋_GB2312" w:hAnsi="宋体" w:eastAsia="仿宋_GB2312" w:cs="仿宋_GB2312"/>
          <w:color w:val="000000"/>
          <w:sz w:val="31"/>
          <w:szCs w:val="31"/>
          <w:lang w:val="en-US" w:eastAsia="zh-CN"/>
        </w:rPr>
        <w:t>4</w:t>
      </w:r>
      <w:r>
        <w:rPr>
          <w:rFonts w:ascii="仿宋_GB2312" w:hAnsi="宋体" w:eastAsia="仿宋_GB2312" w:cs="仿宋_GB2312"/>
          <w:color w:val="000000"/>
          <w:sz w:val="31"/>
          <w:szCs w:val="31"/>
        </w:rPr>
        <w:t>年，台儿庄区财政局认真贯彻落实《条例》</w:t>
      </w:r>
      <w:r>
        <w:rPr>
          <w:rFonts w:hint="eastAsia" w:ascii="仿宋_GB2312" w:hAnsi="宋体" w:eastAsia="仿宋_GB2312" w:cs="仿宋_GB2312"/>
          <w:color w:val="000000"/>
          <w:sz w:val="31"/>
          <w:szCs w:val="31"/>
          <w:lang w:val="en-US" w:eastAsia="zh-CN"/>
        </w:rPr>
        <w:t>要求</w:t>
      </w:r>
      <w:r>
        <w:rPr>
          <w:rFonts w:ascii="仿宋_GB2312" w:hAnsi="宋体" w:eastAsia="仿宋_GB2312" w:cs="仿宋_GB2312"/>
          <w:color w:val="000000"/>
          <w:sz w:val="31"/>
          <w:szCs w:val="31"/>
        </w:rPr>
        <w:t>，</w:t>
      </w:r>
      <w:r>
        <w:rPr>
          <w:rFonts w:hint="eastAsia" w:ascii="仿宋_GB2312" w:hAnsi="宋体" w:eastAsia="仿宋_GB2312" w:cs="仿宋_GB2312"/>
          <w:color w:val="000000"/>
          <w:sz w:val="31"/>
          <w:szCs w:val="31"/>
          <w:lang w:val="en-US" w:eastAsia="zh-CN"/>
        </w:rPr>
        <w:t>聚焦财政职能，</w:t>
      </w:r>
      <w:r>
        <w:rPr>
          <w:rFonts w:hint="eastAsia" w:ascii="仿宋_GB2312" w:eastAsia="仿宋_GB2312" w:cs="仿宋_GB2312"/>
          <w:sz w:val="32"/>
          <w:szCs w:val="32"/>
        </w:rPr>
        <w:t>完善</w:t>
      </w:r>
      <w:r>
        <w:rPr>
          <w:rFonts w:hint="eastAsia" w:ascii="仿宋_GB2312" w:eastAsia="仿宋_GB2312" w:cs="仿宋_GB2312"/>
          <w:sz w:val="32"/>
          <w:szCs w:val="32"/>
          <w:lang w:val="en-US" w:eastAsia="zh-CN"/>
        </w:rPr>
        <w:t>政务</w:t>
      </w:r>
      <w:r>
        <w:rPr>
          <w:rFonts w:hint="eastAsia" w:ascii="仿宋_GB2312" w:eastAsia="仿宋_GB2312" w:cs="仿宋_GB2312"/>
          <w:sz w:val="32"/>
          <w:szCs w:val="32"/>
        </w:rPr>
        <w:t>公开</w:t>
      </w:r>
      <w:r>
        <w:rPr>
          <w:rFonts w:hint="eastAsia" w:ascii="仿宋_GB2312" w:eastAsia="仿宋_GB2312" w:cs="仿宋_GB2312"/>
          <w:sz w:val="32"/>
          <w:szCs w:val="32"/>
          <w:lang w:val="en-US" w:eastAsia="zh-CN"/>
        </w:rPr>
        <w:t>平台建设</w:t>
      </w:r>
      <w:r>
        <w:rPr>
          <w:rFonts w:hint="eastAsia" w:ascii="仿宋_GB2312" w:eastAsia="仿宋_GB2312" w:cs="仿宋_GB2312"/>
          <w:sz w:val="32"/>
          <w:szCs w:val="32"/>
        </w:rPr>
        <w:t>，</w:t>
      </w:r>
      <w:r>
        <w:rPr>
          <w:rFonts w:hint="eastAsia" w:ascii="仿宋_GB2312" w:hAnsi="宋体" w:eastAsia="仿宋_GB2312" w:cs="仿宋_GB2312"/>
          <w:color w:val="000000"/>
          <w:sz w:val="31"/>
          <w:szCs w:val="31"/>
        </w:rPr>
        <w:t>更好发挥以公开促落实、优服务、强监督作用，以高质量政务公开推动经济社会高质量发展</w:t>
      </w:r>
      <w:r>
        <w:rPr>
          <w:rFonts w:ascii="仿宋_GB2312" w:hAnsi="宋体" w:eastAsia="仿宋_GB2312" w:cs="仿宋_GB2312"/>
          <w:color w:val="000000"/>
          <w:sz w:val="31"/>
          <w:szCs w:val="31"/>
        </w:rPr>
        <w:t>。</w:t>
      </w:r>
    </w:p>
    <w:p w14:paraId="0ADE7BDF">
      <w:pPr>
        <w:pStyle w:val="2"/>
        <w:keepNext w:val="0"/>
        <w:keepLines w:val="0"/>
        <w:pageBreakBefore w:val="0"/>
        <w:widowControl/>
        <w:numPr>
          <w:ilvl w:val="0"/>
          <w:numId w:val="1"/>
        </w:numPr>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rFonts w:hint="eastAsia" w:ascii="仿宋_GB2312" w:hAnsi="宋体" w:eastAsia="仿宋_GB2312" w:cs="仿宋_GB2312"/>
          <w:color w:val="000000"/>
          <w:sz w:val="31"/>
          <w:szCs w:val="31"/>
        </w:rPr>
      </w:pPr>
      <w:r>
        <w:rPr>
          <w:rFonts w:hint="eastAsia" w:ascii="楷体" w:hAnsi="楷体" w:eastAsia="楷体" w:cs="楷体"/>
          <w:sz w:val="32"/>
          <w:szCs w:val="32"/>
        </w:rPr>
        <w:t>主动公开。</w:t>
      </w:r>
      <w:r>
        <w:rPr>
          <w:rFonts w:hint="eastAsia" w:ascii="仿宋_GB2312" w:hAnsi="宋体" w:eastAsia="仿宋_GB2312" w:cs="仿宋_GB2312"/>
          <w:color w:val="000000"/>
          <w:sz w:val="31"/>
          <w:szCs w:val="31"/>
          <w:lang w:val="en-US" w:eastAsia="zh-CN"/>
        </w:rPr>
        <w:t>2024年</w:t>
      </w:r>
      <w:r>
        <w:rPr>
          <w:rFonts w:hint="eastAsia" w:ascii="仿宋_GB2312" w:hAnsi="宋体" w:eastAsia="仿宋_GB2312" w:cs="仿宋_GB2312"/>
          <w:color w:val="000000"/>
          <w:sz w:val="31"/>
          <w:szCs w:val="31"/>
        </w:rPr>
        <w:t>，</w:t>
      </w:r>
      <w:r>
        <w:rPr>
          <w:rFonts w:hint="eastAsia" w:ascii="仿宋_GB2312" w:hAnsi="宋体" w:eastAsia="仿宋_GB2312" w:cs="仿宋_GB2312"/>
          <w:color w:val="000000"/>
          <w:sz w:val="31"/>
          <w:szCs w:val="31"/>
          <w:lang w:val="en-US" w:eastAsia="zh-CN"/>
        </w:rPr>
        <w:t>我局</w:t>
      </w:r>
      <w:r>
        <w:rPr>
          <w:rFonts w:hint="eastAsia" w:ascii="仿宋_GB2312" w:hAnsi="宋体" w:eastAsia="仿宋_GB2312" w:cs="仿宋_GB2312"/>
          <w:color w:val="000000"/>
          <w:sz w:val="31"/>
          <w:szCs w:val="31"/>
        </w:rPr>
        <w:t>主动公开政府信息</w:t>
      </w:r>
      <w:r>
        <w:rPr>
          <w:rFonts w:hint="eastAsia" w:ascii="仿宋_GB2312" w:hAnsi="宋体" w:eastAsia="仿宋_GB2312" w:cs="仿宋_GB2312"/>
          <w:color w:val="000000"/>
          <w:sz w:val="31"/>
          <w:szCs w:val="31"/>
          <w:lang w:val="en-US" w:eastAsia="zh-CN"/>
        </w:rPr>
        <w:t>387</w:t>
      </w:r>
      <w:r>
        <w:rPr>
          <w:rFonts w:hint="eastAsia" w:ascii="仿宋_GB2312" w:hAnsi="宋体" w:eastAsia="仿宋_GB2312" w:cs="仿宋_GB2312"/>
          <w:color w:val="000000"/>
          <w:sz w:val="31"/>
          <w:szCs w:val="31"/>
        </w:rPr>
        <w:t>条，其中机构职能</w:t>
      </w:r>
      <w:r>
        <w:rPr>
          <w:rFonts w:hint="eastAsia" w:ascii="仿宋_GB2312" w:hAnsi="宋体" w:eastAsia="仿宋_GB2312" w:cs="仿宋_GB2312"/>
          <w:color w:val="000000"/>
          <w:sz w:val="31"/>
          <w:szCs w:val="31"/>
          <w:lang w:val="en-US" w:eastAsia="zh-CN"/>
        </w:rPr>
        <w:t>领导</w:t>
      </w:r>
      <w:r>
        <w:rPr>
          <w:rFonts w:hint="eastAsia" w:ascii="仿宋_GB2312" w:hAnsi="宋体" w:eastAsia="仿宋_GB2312" w:cs="仿宋_GB2312"/>
          <w:color w:val="000000"/>
          <w:sz w:val="31"/>
          <w:szCs w:val="31"/>
        </w:rPr>
        <w:t>信息</w:t>
      </w:r>
      <w:r>
        <w:rPr>
          <w:rFonts w:hint="eastAsia" w:ascii="仿宋_GB2312" w:hAnsi="宋体" w:eastAsia="仿宋_GB2312" w:cs="仿宋_GB2312"/>
          <w:color w:val="000000"/>
          <w:sz w:val="31"/>
          <w:szCs w:val="31"/>
          <w:lang w:val="en-US" w:eastAsia="zh-CN"/>
        </w:rPr>
        <w:t>完善1</w:t>
      </w:r>
      <w:r>
        <w:rPr>
          <w:rFonts w:hint="eastAsia" w:ascii="仿宋_GB2312" w:hAnsi="宋体" w:eastAsia="仿宋_GB2312" w:cs="仿宋_GB2312"/>
          <w:color w:val="000000"/>
          <w:sz w:val="31"/>
          <w:szCs w:val="31"/>
        </w:rPr>
        <w:t>条，行政执法信息</w:t>
      </w:r>
      <w:r>
        <w:rPr>
          <w:rFonts w:hint="eastAsia" w:ascii="仿宋_GB2312" w:hAnsi="宋体" w:eastAsia="仿宋_GB2312" w:cs="仿宋_GB2312"/>
          <w:color w:val="000000"/>
          <w:sz w:val="31"/>
          <w:szCs w:val="31"/>
          <w:highlight w:val="none"/>
          <w:lang w:val="en-US" w:eastAsia="zh-CN"/>
        </w:rPr>
        <w:t>6</w:t>
      </w:r>
      <w:r>
        <w:rPr>
          <w:rFonts w:hint="eastAsia" w:ascii="仿宋_GB2312" w:hAnsi="宋体" w:eastAsia="仿宋_GB2312" w:cs="仿宋_GB2312"/>
          <w:color w:val="000000"/>
          <w:sz w:val="31"/>
          <w:szCs w:val="31"/>
        </w:rPr>
        <w:t>条，</w:t>
      </w:r>
      <w:r>
        <w:rPr>
          <w:rFonts w:hint="eastAsia" w:ascii="仿宋_GB2312" w:hAnsi="宋体" w:eastAsia="仿宋_GB2312" w:cs="仿宋_GB2312"/>
          <w:color w:val="000000"/>
          <w:sz w:val="31"/>
          <w:szCs w:val="31"/>
          <w:lang w:eastAsia="zh-CN"/>
        </w:rPr>
        <w:t>“</w:t>
      </w:r>
      <w:r>
        <w:rPr>
          <w:rFonts w:hint="eastAsia" w:ascii="仿宋_GB2312" w:hAnsi="宋体" w:eastAsia="仿宋_GB2312" w:cs="仿宋_GB2312"/>
          <w:color w:val="000000"/>
          <w:sz w:val="31"/>
          <w:szCs w:val="31"/>
          <w:lang w:val="en-US" w:eastAsia="zh-CN"/>
        </w:rPr>
        <w:t>双随机，一公开</w:t>
      </w:r>
      <w:r>
        <w:rPr>
          <w:rFonts w:hint="eastAsia" w:ascii="仿宋_GB2312" w:hAnsi="宋体" w:eastAsia="仿宋_GB2312" w:cs="仿宋_GB2312"/>
          <w:color w:val="000000"/>
          <w:sz w:val="31"/>
          <w:szCs w:val="31"/>
          <w:lang w:eastAsia="zh-CN"/>
        </w:rPr>
        <w:t>”</w:t>
      </w:r>
      <w:r>
        <w:rPr>
          <w:rFonts w:hint="eastAsia" w:ascii="仿宋_GB2312" w:hAnsi="宋体" w:eastAsia="仿宋_GB2312" w:cs="仿宋_GB2312"/>
          <w:color w:val="000000"/>
          <w:sz w:val="31"/>
          <w:szCs w:val="31"/>
          <w:lang w:val="en-US" w:eastAsia="zh-CN"/>
        </w:rPr>
        <w:t>监管</w:t>
      </w:r>
      <w:r>
        <w:rPr>
          <w:rFonts w:hint="eastAsia" w:ascii="仿宋_GB2312" w:hAnsi="宋体" w:eastAsia="仿宋_GB2312" w:cs="仿宋_GB2312"/>
          <w:color w:val="000000"/>
          <w:sz w:val="31"/>
          <w:szCs w:val="31"/>
          <w:highlight w:val="none"/>
          <w:lang w:val="en-US" w:eastAsia="zh-CN"/>
        </w:rPr>
        <w:t>5</w:t>
      </w:r>
      <w:r>
        <w:rPr>
          <w:rFonts w:hint="eastAsia" w:ascii="仿宋_GB2312" w:hAnsi="宋体" w:eastAsia="仿宋_GB2312" w:cs="仿宋_GB2312"/>
          <w:color w:val="000000"/>
          <w:sz w:val="31"/>
          <w:szCs w:val="31"/>
          <w:lang w:val="en-US" w:eastAsia="zh-CN"/>
        </w:rPr>
        <w:t>条，</w:t>
      </w:r>
      <w:r>
        <w:rPr>
          <w:rFonts w:hint="eastAsia" w:ascii="仿宋_GB2312" w:hAnsi="宋体" w:eastAsia="仿宋_GB2312" w:cs="仿宋_GB2312"/>
          <w:color w:val="000000"/>
          <w:sz w:val="31"/>
          <w:szCs w:val="31"/>
        </w:rPr>
        <w:t>政府采购信息</w:t>
      </w:r>
      <w:r>
        <w:rPr>
          <w:rFonts w:hint="eastAsia" w:ascii="仿宋_GB2312" w:hAnsi="宋体" w:eastAsia="仿宋_GB2312" w:cs="仿宋_GB2312"/>
          <w:color w:val="000000"/>
          <w:sz w:val="31"/>
          <w:szCs w:val="31"/>
          <w:highlight w:val="none"/>
          <w:lang w:val="en-US" w:eastAsia="zh-CN"/>
        </w:rPr>
        <w:t>6</w:t>
      </w:r>
      <w:r>
        <w:rPr>
          <w:rFonts w:hint="eastAsia" w:ascii="仿宋_GB2312" w:hAnsi="宋体" w:eastAsia="仿宋_GB2312" w:cs="仿宋_GB2312"/>
          <w:color w:val="000000"/>
          <w:sz w:val="31"/>
          <w:szCs w:val="31"/>
        </w:rPr>
        <w:t>条，财政预决算信</w:t>
      </w:r>
      <w:r>
        <w:rPr>
          <w:rFonts w:hint="eastAsia" w:ascii="仿宋_GB2312" w:hAnsi="宋体" w:eastAsia="仿宋_GB2312" w:cs="仿宋_GB2312"/>
          <w:color w:val="000000"/>
          <w:sz w:val="31"/>
          <w:szCs w:val="31"/>
          <w:highlight w:val="none"/>
        </w:rPr>
        <w:t>息</w:t>
      </w:r>
      <w:r>
        <w:rPr>
          <w:rFonts w:hint="eastAsia" w:ascii="仿宋_GB2312" w:hAnsi="宋体" w:eastAsia="仿宋_GB2312" w:cs="仿宋_GB2312"/>
          <w:color w:val="000000"/>
          <w:sz w:val="31"/>
          <w:szCs w:val="31"/>
          <w:highlight w:val="none"/>
          <w:lang w:val="en-US" w:eastAsia="zh-CN"/>
        </w:rPr>
        <w:t>282</w:t>
      </w:r>
      <w:r>
        <w:rPr>
          <w:rFonts w:hint="eastAsia" w:ascii="仿宋_GB2312" w:hAnsi="宋体" w:eastAsia="仿宋_GB2312" w:cs="仿宋_GB2312"/>
          <w:color w:val="000000"/>
          <w:sz w:val="31"/>
          <w:szCs w:val="31"/>
        </w:rPr>
        <w:t>条，财政收支信息</w:t>
      </w:r>
      <w:r>
        <w:rPr>
          <w:rFonts w:hint="eastAsia" w:ascii="仿宋_GB2312" w:hAnsi="宋体" w:eastAsia="仿宋_GB2312" w:cs="仿宋_GB2312"/>
          <w:color w:val="000000"/>
          <w:sz w:val="31"/>
          <w:szCs w:val="31"/>
          <w:highlight w:val="none"/>
          <w:lang w:val="en-US" w:eastAsia="zh-CN"/>
        </w:rPr>
        <w:t>12</w:t>
      </w:r>
      <w:r>
        <w:rPr>
          <w:rFonts w:hint="eastAsia" w:ascii="仿宋_GB2312" w:hAnsi="宋体" w:eastAsia="仿宋_GB2312" w:cs="仿宋_GB2312"/>
          <w:color w:val="000000"/>
          <w:sz w:val="31"/>
          <w:szCs w:val="31"/>
        </w:rPr>
        <w:t>条，</w:t>
      </w:r>
      <w:r>
        <w:rPr>
          <w:rFonts w:hint="eastAsia" w:ascii="仿宋_GB2312" w:hAnsi="宋体" w:eastAsia="仿宋_GB2312" w:cs="仿宋_GB2312"/>
          <w:color w:val="000000"/>
          <w:sz w:val="31"/>
          <w:szCs w:val="31"/>
          <w:lang w:val="en-US" w:eastAsia="zh-CN"/>
        </w:rPr>
        <w:t>财政资金直达基层信息</w:t>
      </w:r>
      <w:r>
        <w:rPr>
          <w:rFonts w:hint="eastAsia" w:ascii="仿宋_GB2312" w:hAnsi="宋体" w:eastAsia="仿宋_GB2312" w:cs="仿宋_GB2312"/>
          <w:color w:val="000000"/>
          <w:sz w:val="31"/>
          <w:szCs w:val="31"/>
          <w:highlight w:val="none"/>
          <w:lang w:val="en-US" w:eastAsia="zh-CN"/>
        </w:rPr>
        <w:t>6</w:t>
      </w:r>
      <w:r>
        <w:rPr>
          <w:rFonts w:hint="eastAsia" w:ascii="仿宋_GB2312" w:hAnsi="宋体" w:eastAsia="仿宋_GB2312" w:cs="仿宋_GB2312"/>
          <w:color w:val="000000"/>
          <w:sz w:val="31"/>
          <w:szCs w:val="31"/>
          <w:lang w:val="en-US" w:eastAsia="zh-CN"/>
        </w:rPr>
        <w:t>条</w:t>
      </w:r>
      <w:r>
        <w:rPr>
          <w:rFonts w:hint="eastAsia" w:ascii="仿宋_GB2312" w:hAnsi="宋体" w:eastAsia="仿宋_GB2312" w:cs="仿宋_GB2312"/>
          <w:color w:val="000000"/>
          <w:sz w:val="31"/>
          <w:szCs w:val="31"/>
        </w:rPr>
        <w:t>，</w:t>
      </w:r>
      <w:r>
        <w:rPr>
          <w:rFonts w:hint="eastAsia" w:ascii="仿宋_GB2312" w:hAnsi="宋体" w:eastAsia="仿宋_GB2312" w:cs="仿宋_GB2312"/>
          <w:color w:val="000000"/>
          <w:sz w:val="31"/>
          <w:szCs w:val="31"/>
          <w:lang w:val="en-US" w:eastAsia="zh-CN"/>
        </w:rPr>
        <w:t>行政事业性收费和政府性基金目录清单信息</w:t>
      </w:r>
      <w:r>
        <w:rPr>
          <w:rFonts w:hint="eastAsia" w:ascii="仿宋_GB2312" w:hAnsi="宋体" w:eastAsia="仿宋_GB2312" w:cs="仿宋_GB2312"/>
          <w:color w:val="000000"/>
          <w:sz w:val="31"/>
          <w:szCs w:val="31"/>
          <w:highlight w:val="none"/>
          <w:lang w:val="en-US" w:eastAsia="zh-CN"/>
        </w:rPr>
        <w:t>60</w:t>
      </w:r>
      <w:r>
        <w:rPr>
          <w:rFonts w:hint="eastAsia" w:ascii="仿宋_GB2312" w:hAnsi="宋体" w:eastAsia="仿宋_GB2312" w:cs="仿宋_GB2312"/>
          <w:color w:val="000000"/>
          <w:sz w:val="31"/>
          <w:szCs w:val="31"/>
          <w:lang w:val="en-US" w:eastAsia="zh-CN"/>
        </w:rPr>
        <w:t>条</w:t>
      </w:r>
      <w:r>
        <w:rPr>
          <w:rFonts w:hint="eastAsia" w:ascii="仿宋_GB2312" w:hAnsi="宋体" w:eastAsia="仿宋_GB2312" w:cs="仿宋_GB2312"/>
          <w:color w:val="000000"/>
          <w:sz w:val="31"/>
          <w:szCs w:val="31"/>
        </w:rPr>
        <w:t>，</w:t>
      </w:r>
      <w:r>
        <w:rPr>
          <w:rFonts w:hint="eastAsia" w:ascii="仿宋_GB2312" w:hAnsi="宋体" w:eastAsia="仿宋_GB2312" w:cs="仿宋_GB2312"/>
          <w:color w:val="000000"/>
          <w:sz w:val="31"/>
          <w:szCs w:val="31"/>
          <w:lang w:val="en-US" w:eastAsia="zh-CN"/>
        </w:rPr>
        <w:t>法治政府建设信息</w:t>
      </w:r>
      <w:r>
        <w:rPr>
          <w:rFonts w:hint="eastAsia" w:ascii="仿宋_GB2312" w:hAnsi="宋体" w:eastAsia="仿宋_GB2312" w:cs="仿宋_GB2312"/>
          <w:color w:val="000000"/>
          <w:sz w:val="31"/>
          <w:szCs w:val="31"/>
          <w:highlight w:val="none"/>
          <w:lang w:val="en-US" w:eastAsia="zh-CN"/>
        </w:rPr>
        <w:t>2条</w:t>
      </w:r>
      <w:r>
        <w:rPr>
          <w:rFonts w:hint="eastAsia" w:ascii="仿宋_GB2312" w:hAnsi="宋体" w:eastAsia="仿宋_GB2312" w:cs="仿宋_GB2312"/>
          <w:color w:val="000000"/>
          <w:sz w:val="31"/>
          <w:szCs w:val="31"/>
          <w:lang w:val="en-US" w:eastAsia="zh-CN"/>
        </w:rPr>
        <w:t>，重大民生信息</w:t>
      </w:r>
      <w:r>
        <w:rPr>
          <w:rFonts w:hint="eastAsia" w:ascii="仿宋_GB2312" w:hAnsi="宋体" w:eastAsia="仿宋_GB2312" w:cs="仿宋_GB2312"/>
          <w:color w:val="000000"/>
          <w:sz w:val="31"/>
          <w:szCs w:val="31"/>
          <w:highlight w:val="none"/>
          <w:lang w:val="en-US" w:eastAsia="zh-CN"/>
        </w:rPr>
        <w:t>2</w:t>
      </w:r>
      <w:r>
        <w:rPr>
          <w:rFonts w:hint="eastAsia" w:ascii="仿宋_GB2312" w:hAnsi="宋体" w:eastAsia="仿宋_GB2312" w:cs="仿宋_GB2312"/>
          <w:color w:val="000000"/>
          <w:sz w:val="31"/>
          <w:szCs w:val="31"/>
          <w:lang w:val="en-US" w:eastAsia="zh-CN"/>
        </w:rPr>
        <w:t>条，政务公开保障机制信息</w:t>
      </w:r>
      <w:r>
        <w:rPr>
          <w:rFonts w:hint="eastAsia" w:ascii="仿宋_GB2312" w:hAnsi="宋体" w:eastAsia="仿宋_GB2312" w:cs="仿宋_GB2312"/>
          <w:color w:val="000000"/>
          <w:sz w:val="31"/>
          <w:szCs w:val="31"/>
          <w:highlight w:val="none"/>
          <w:lang w:val="en-US" w:eastAsia="zh-CN"/>
        </w:rPr>
        <w:t>4</w:t>
      </w:r>
      <w:r>
        <w:rPr>
          <w:rFonts w:hint="eastAsia" w:ascii="仿宋_GB2312" w:hAnsi="宋体" w:eastAsia="仿宋_GB2312" w:cs="仿宋_GB2312"/>
          <w:color w:val="000000"/>
          <w:sz w:val="31"/>
          <w:szCs w:val="31"/>
          <w:lang w:val="en-US" w:eastAsia="zh-CN"/>
        </w:rPr>
        <w:t>条，</w:t>
      </w:r>
      <w:r>
        <w:rPr>
          <w:rFonts w:hint="eastAsia" w:ascii="仿宋_GB2312" w:hAnsi="宋体" w:eastAsia="仿宋_GB2312" w:cs="仿宋_GB2312"/>
          <w:color w:val="000000"/>
          <w:sz w:val="31"/>
          <w:szCs w:val="31"/>
          <w:highlight w:val="none"/>
        </w:rPr>
        <w:t>其他信息</w:t>
      </w:r>
      <w:r>
        <w:rPr>
          <w:rFonts w:hint="eastAsia" w:ascii="仿宋_GB2312" w:hAnsi="宋体" w:eastAsia="仿宋_GB2312" w:cs="仿宋_GB2312"/>
          <w:color w:val="000000"/>
          <w:sz w:val="31"/>
          <w:szCs w:val="31"/>
          <w:highlight w:val="none"/>
          <w:lang w:val="en-US" w:eastAsia="zh-CN"/>
        </w:rPr>
        <w:t>1</w:t>
      </w:r>
      <w:r>
        <w:rPr>
          <w:rFonts w:hint="eastAsia" w:ascii="仿宋_GB2312" w:hAnsi="宋体" w:eastAsia="仿宋_GB2312" w:cs="仿宋_GB2312"/>
          <w:color w:val="000000"/>
          <w:sz w:val="31"/>
          <w:szCs w:val="31"/>
          <w:highlight w:val="none"/>
        </w:rPr>
        <w:t>条</w:t>
      </w:r>
      <w:r>
        <w:rPr>
          <w:rFonts w:hint="eastAsia" w:ascii="仿宋_GB2312" w:hAnsi="宋体" w:eastAsia="仿宋_GB2312" w:cs="仿宋_GB2312"/>
          <w:color w:val="000000"/>
          <w:sz w:val="31"/>
          <w:szCs w:val="31"/>
        </w:rPr>
        <w:t>。</w:t>
      </w:r>
    </w:p>
    <w:p w14:paraId="5B33995A">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15"/>
        <w:jc w:val="both"/>
        <w:textAlignment w:val="auto"/>
        <w:rPr>
          <w:sz w:val="32"/>
          <w:szCs w:val="32"/>
        </w:rPr>
      </w:pPr>
      <w:r>
        <w:rPr>
          <w:rFonts w:hint="eastAsia" w:ascii="楷体" w:hAnsi="楷体" w:eastAsia="楷体" w:cs="楷体"/>
          <w:sz w:val="32"/>
          <w:szCs w:val="32"/>
        </w:rPr>
        <w:t>（二）依申请公开。</w:t>
      </w:r>
      <w:r>
        <w:rPr>
          <w:rFonts w:hint="eastAsia" w:ascii="仿宋_GB2312" w:eastAsia="仿宋_GB2312" w:cs="仿宋_GB2312"/>
          <w:sz w:val="32"/>
          <w:szCs w:val="32"/>
          <w:lang w:val="en-US" w:eastAsia="zh-CN"/>
        </w:rPr>
        <w:t>2024年我局定期</w:t>
      </w:r>
      <w:r>
        <w:rPr>
          <w:rFonts w:hint="eastAsia" w:ascii="仿宋_GB2312" w:eastAsia="仿宋_GB2312" w:cs="仿宋_GB2312"/>
          <w:sz w:val="32"/>
          <w:szCs w:val="32"/>
        </w:rPr>
        <w:t>关注</w:t>
      </w:r>
      <w:r>
        <w:rPr>
          <w:rFonts w:hint="eastAsia" w:ascii="仿宋_GB2312" w:eastAsia="仿宋_GB2312" w:cs="仿宋_GB2312"/>
          <w:sz w:val="32"/>
          <w:szCs w:val="32"/>
          <w:lang w:val="en-US" w:eastAsia="zh-CN"/>
        </w:rPr>
        <w:t>政府信息公开问政互动专栏</w:t>
      </w:r>
      <w:r>
        <w:rPr>
          <w:rFonts w:hint="eastAsia" w:ascii="仿宋_GB2312" w:eastAsia="仿宋_GB2312" w:cs="仿宋_GB2312"/>
          <w:sz w:val="32"/>
          <w:szCs w:val="32"/>
        </w:rPr>
        <w:t>，确保</w:t>
      </w:r>
      <w:r>
        <w:rPr>
          <w:rFonts w:hint="eastAsia" w:ascii="仿宋_GB2312" w:eastAsia="仿宋_GB2312" w:cs="仿宋_GB2312"/>
          <w:sz w:val="32"/>
          <w:szCs w:val="32"/>
          <w:lang w:val="en-US" w:eastAsia="zh-CN"/>
        </w:rPr>
        <w:t>及时处理已申请公开事项，</w:t>
      </w:r>
      <w:r>
        <w:rPr>
          <w:rFonts w:hint="eastAsia" w:ascii="仿宋_GB2312" w:eastAsia="仿宋_GB2312" w:cs="仿宋_GB2312"/>
          <w:sz w:val="32"/>
          <w:szCs w:val="32"/>
        </w:rPr>
        <w:t>本年度我局未收到依申请公开政府信息</w:t>
      </w:r>
      <w:r>
        <w:rPr>
          <w:rFonts w:hint="eastAsia" w:ascii="仿宋_GB2312" w:eastAsia="仿宋_GB2312" w:cs="仿宋_GB2312"/>
          <w:sz w:val="32"/>
          <w:szCs w:val="32"/>
          <w:lang w:val="en-US" w:eastAsia="zh-CN"/>
        </w:rPr>
        <w:t>的申请</w:t>
      </w:r>
      <w:r>
        <w:rPr>
          <w:rFonts w:hint="eastAsia" w:ascii="仿宋_GB2312" w:eastAsia="仿宋_GB2312" w:cs="仿宋_GB2312"/>
          <w:sz w:val="32"/>
          <w:szCs w:val="32"/>
        </w:rPr>
        <w:t>。</w:t>
      </w:r>
    </w:p>
    <w:p w14:paraId="4381FC97">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15"/>
        <w:jc w:val="both"/>
        <w:textAlignment w:val="auto"/>
        <w:rPr>
          <w:rFonts w:hint="eastAsia" w:ascii="仿宋_GB2312" w:hAnsi="宋体" w:eastAsia="仿宋_GB2312" w:cs="仿宋_GB2312"/>
          <w:color w:val="000000"/>
          <w:sz w:val="31"/>
          <w:szCs w:val="31"/>
        </w:rPr>
      </w:pPr>
      <w:r>
        <w:rPr>
          <w:rFonts w:hint="eastAsia" w:ascii="楷体" w:hAnsi="楷体" w:eastAsia="楷体" w:cs="楷体"/>
          <w:sz w:val="32"/>
          <w:szCs w:val="32"/>
        </w:rPr>
        <w:t>（三）政府信息管理。</w:t>
      </w:r>
      <w:r>
        <w:rPr>
          <w:rFonts w:hint="eastAsia" w:ascii="仿宋_GB2312" w:hAnsi="宋体" w:eastAsia="仿宋_GB2312" w:cs="仿宋_GB2312"/>
          <w:color w:val="000000"/>
          <w:sz w:val="31"/>
          <w:szCs w:val="31"/>
        </w:rPr>
        <w:t>严格</w:t>
      </w:r>
      <w:r>
        <w:rPr>
          <w:rFonts w:hint="eastAsia" w:ascii="仿宋_GB2312" w:hAnsi="宋体" w:eastAsia="仿宋_GB2312" w:cs="仿宋_GB2312"/>
          <w:color w:val="000000"/>
          <w:sz w:val="31"/>
          <w:szCs w:val="31"/>
          <w:lang w:val="en-US" w:eastAsia="zh-CN"/>
        </w:rPr>
        <w:t>落实</w:t>
      </w:r>
      <w:r>
        <w:rPr>
          <w:rFonts w:hint="eastAsia" w:ascii="仿宋_GB2312" w:hAnsi="宋体" w:eastAsia="仿宋_GB2312" w:cs="仿宋_GB2312"/>
          <w:color w:val="000000"/>
          <w:sz w:val="31"/>
          <w:szCs w:val="31"/>
        </w:rPr>
        <w:t>政务信息公开保密审查制度，待发布信息均须经局分管领导签阅《台儿庄区财政局信息公开保密审查表》后方可在区政府网站对外发布，确保所公开信息符合相关保密制度规定</w:t>
      </w:r>
      <w:r>
        <w:rPr>
          <w:rFonts w:hint="eastAsia" w:ascii="仿宋_GB2312" w:hAnsi="宋体" w:eastAsia="仿宋_GB2312" w:cs="仿宋_GB2312"/>
          <w:color w:val="000000"/>
          <w:sz w:val="31"/>
          <w:szCs w:val="31"/>
          <w:lang w:eastAsia="zh-CN"/>
        </w:rPr>
        <w:t>，2024年度公开的政府信息无违反规定和失泄密情况</w:t>
      </w:r>
      <w:r>
        <w:rPr>
          <w:rFonts w:hint="eastAsia" w:ascii="仿宋_GB2312" w:hAnsi="宋体" w:eastAsia="仿宋_GB2312" w:cs="仿宋_GB2312"/>
          <w:color w:val="000000"/>
          <w:sz w:val="31"/>
          <w:szCs w:val="31"/>
        </w:rPr>
        <w:t>。</w:t>
      </w:r>
    </w:p>
    <w:p w14:paraId="06905878">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15"/>
        <w:jc w:val="both"/>
        <w:textAlignment w:val="auto"/>
        <w:rPr>
          <w:rFonts w:hint="default" w:ascii="仿宋_GB2312" w:hAnsi="宋体" w:eastAsia="仿宋_GB2312" w:cs="仿宋_GB2312"/>
          <w:color w:val="000000"/>
          <w:sz w:val="31"/>
          <w:szCs w:val="31"/>
          <w:lang w:val="en-US" w:eastAsia="zh-CN"/>
        </w:rPr>
      </w:pPr>
      <w:r>
        <w:rPr>
          <w:rFonts w:hint="eastAsia" w:ascii="楷体" w:hAnsi="楷体" w:eastAsia="楷体" w:cs="楷体"/>
          <w:sz w:val="32"/>
          <w:szCs w:val="32"/>
        </w:rPr>
        <w:t>（四）政府信息公开平台建设。</w:t>
      </w:r>
      <w:r>
        <w:rPr>
          <w:rFonts w:hint="eastAsia" w:ascii="仿宋_GB2312" w:hAnsi="宋体" w:eastAsia="仿宋_GB2312" w:cs="仿宋_GB2312"/>
          <w:color w:val="000000"/>
          <w:sz w:val="31"/>
          <w:szCs w:val="31"/>
        </w:rPr>
        <w:t>台儿庄区人民政府门户网站为我局政务信息公开主要阵地，区政府门户网站政府信息公开栏目单独设置了“财政预决算公开平台”政务公开专栏，用以公开我区财政预决算相关信息。</w:t>
      </w:r>
      <w:r>
        <w:rPr>
          <w:rFonts w:hint="eastAsia" w:ascii="仿宋_GB2312" w:hAnsi="宋体" w:eastAsia="仿宋_GB2312" w:cs="仿宋_GB2312"/>
          <w:color w:val="000000"/>
          <w:sz w:val="31"/>
          <w:szCs w:val="31"/>
          <w:lang w:val="en-US" w:eastAsia="zh-CN"/>
        </w:rPr>
        <w:t>将“</w:t>
      </w:r>
      <w:r>
        <w:rPr>
          <w:rFonts w:hint="eastAsia" w:ascii="仿宋_GB2312" w:hAnsi="宋体" w:eastAsia="仿宋_GB2312" w:cs="仿宋_GB2312"/>
          <w:color w:val="000000"/>
          <w:sz w:val="31"/>
          <w:szCs w:val="31"/>
        </w:rPr>
        <w:t>行政执法信息</w:t>
      </w:r>
      <w:r>
        <w:rPr>
          <w:rFonts w:hint="eastAsia" w:ascii="仿宋_GB2312" w:hAnsi="宋体" w:eastAsia="仿宋_GB2312" w:cs="仿宋_GB2312"/>
          <w:color w:val="000000"/>
          <w:sz w:val="31"/>
          <w:szCs w:val="31"/>
          <w:lang w:val="en-US" w:eastAsia="zh-CN"/>
        </w:rPr>
        <w:t>”</w:t>
      </w:r>
      <w:r>
        <w:rPr>
          <w:rFonts w:hint="eastAsia" w:ascii="仿宋_GB2312" w:hAnsi="宋体" w:eastAsia="仿宋_GB2312" w:cs="仿宋_GB2312"/>
          <w:color w:val="000000"/>
          <w:sz w:val="31"/>
          <w:szCs w:val="31"/>
          <w:lang w:eastAsia="zh-CN"/>
        </w:rPr>
        <w:t>“</w:t>
      </w:r>
      <w:r>
        <w:rPr>
          <w:rFonts w:hint="eastAsia" w:ascii="仿宋_GB2312" w:hAnsi="宋体" w:eastAsia="仿宋_GB2312" w:cs="仿宋_GB2312"/>
          <w:color w:val="000000"/>
          <w:sz w:val="31"/>
          <w:szCs w:val="31"/>
          <w:lang w:val="en-US" w:eastAsia="zh-CN"/>
        </w:rPr>
        <w:t>双随机，一公开</w:t>
      </w:r>
      <w:r>
        <w:rPr>
          <w:rFonts w:hint="eastAsia" w:ascii="仿宋_GB2312" w:hAnsi="宋体" w:eastAsia="仿宋_GB2312" w:cs="仿宋_GB2312"/>
          <w:color w:val="000000"/>
          <w:sz w:val="31"/>
          <w:szCs w:val="31"/>
          <w:lang w:eastAsia="zh-CN"/>
        </w:rPr>
        <w:t>”</w:t>
      </w:r>
      <w:r>
        <w:rPr>
          <w:rFonts w:hint="eastAsia" w:ascii="仿宋_GB2312" w:hAnsi="宋体" w:eastAsia="仿宋_GB2312" w:cs="仿宋_GB2312"/>
          <w:color w:val="000000"/>
          <w:sz w:val="31"/>
          <w:szCs w:val="31"/>
          <w:lang w:val="en-US" w:eastAsia="zh-CN"/>
        </w:rPr>
        <w:t>监管等栏目进行归档管理，提升政府网站规范化管理水平。</w:t>
      </w:r>
    </w:p>
    <w:p w14:paraId="34C85BE5">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rPr>
          <w:rFonts w:ascii="黑体" w:hAnsi="宋体" w:eastAsia="黑体" w:cs="黑体"/>
          <w:color w:val="000000"/>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）监督保障。</w:t>
      </w:r>
      <w:r>
        <w:rPr>
          <w:rFonts w:hint="eastAsia" w:ascii="仿宋_GB2312" w:eastAsia="仿宋_GB2312" w:cs="仿宋_GB2312"/>
          <w:sz w:val="32"/>
          <w:szCs w:val="32"/>
          <w:lang w:val="en-US" w:eastAsia="zh-CN"/>
        </w:rPr>
        <w:t xml:space="preserve">在局政府信息公开领导小组领导下，通过“集中专题学习”方式，开展常态化政务公开培训工作，按计划进行政务公开业务培训，着力提升财政部门政务公开工作水平。配置专人专岗专责，严格落实信息公开保密审查要求，把好政治关、政策关、文字关，避免引发舆情。              </w:t>
      </w:r>
      <w:r>
        <w:rPr>
          <w:rFonts w:ascii="黑体" w:hAnsi="宋体" w:eastAsia="黑体" w:cs="黑体"/>
          <w:color w:val="000000"/>
          <w:sz w:val="32"/>
          <w:szCs w:val="32"/>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14:paraId="6E72EFE7">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5A9FF3D">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02DA92A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833567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1D44073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4486D17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0B6159B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775B3911">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316086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203B6FDC">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3620065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r>
              <w:rPr>
                <w:rFonts w:hint="eastAsia" w:ascii="仿宋_GB2312" w:hAnsi="宋体" w:eastAsia="仿宋_GB2312" w:cs="宋体"/>
                <w:color w:val="000000"/>
                <w:kern w:val="0"/>
                <w:szCs w:val="21"/>
              </w:rPr>
              <w:t> 　</w:t>
            </w:r>
          </w:p>
        </w:tc>
        <w:tc>
          <w:tcPr>
            <w:tcW w:w="2206" w:type="dxa"/>
            <w:tcBorders>
              <w:top w:val="nil"/>
              <w:left w:val="nil"/>
              <w:bottom w:val="single" w:color="auto" w:sz="8" w:space="0"/>
              <w:right w:val="single" w:color="auto" w:sz="8" w:space="0"/>
            </w:tcBorders>
            <w:shd w:val="clear" w:color="auto" w:fill="auto"/>
            <w:vAlign w:val="center"/>
          </w:tcPr>
          <w:p w14:paraId="4A4522F2">
            <w:pPr>
              <w:widowControl/>
              <w:jc w:val="left"/>
              <w:rPr>
                <w:rFonts w:ascii="仿宋_GB2312" w:hAnsi="Calibri" w:eastAsia="仿宋_GB2312" w:cs="Calibri"/>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14:paraId="6C6AC1C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24E1A8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4B35BD0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2820985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2F272361">
            <w:pPr>
              <w:widowControl/>
              <w:jc w:val="left"/>
              <w:rPr>
                <w:rFonts w:ascii="仿宋_GB2312" w:hAnsi="Calibri" w:eastAsia="仿宋_GB2312" w:cs="Calibri"/>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14:paraId="39DB2C10">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4" w:space="0"/>
              <w:right w:val="single" w:color="000000" w:sz="8" w:space="0"/>
            </w:tcBorders>
            <w:shd w:val="clear" w:color="000000" w:fill="C6D9F1"/>
            <w:vAlign w:val="center"/>
          </w:tcPr>
          <w:p w14:paraId="7B49494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70609F9B">
        <w:trPr>
          <w:trHeight w:val="646" w:hRule="atLeast"/>
        </w:trPr>
        <w:tc>
          <w:tcPr>
            <w:tcW w:w="2206" w:type="dxa"/>
            <w:tcBorders>
              <w:top w:val="single" w:color="auto" w:sz="4" w:space="0"/>
              <w:left w:val="single" w:color="auto" w:sz="4" w:space="0"/>
              <w:bottom w:val="single" w:color="auto" w:sz="4" w:space="0"/>
              <w:right w:val="single" w:color="auto" w:sz="8" w:space="0"/>
            </w:tcBorders>
            <w:shd w:val="clear" w:color="auto" w:fill="auto"/>
            <w:vAlign w:val="center"/>
          </w:tcPr>
          <w:p w14:paraId="55A659B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4" w:space="0"/>
              <w:left w:val="nil"/>
              <w:bottom w:val="single" w:color="auto" w:sz="4" w:space="0"/>
              <w:right w:val="single" w:color="auto" w:sz="4" w:space="0"/>
            </w:tcBorders>
            <w:shd w:val="clear" w:color="auto" w:fill="auto"/>
            <w:vAlign w:val="center"/>
          </w:tcPr>
          <w:p w14:paraId="5CB9883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36F277B0">
        <w:tblPrEx>
          <w:tblCellMar>
            <w:top w:w="0" w:type="dxa"/>
            <w:left w:w="108" w:type="dxa"/>
            <w:bottom w:w="0" w:type="dxa"/>
            <w:right w:w="108" w:type="dxa"/>
          </w:tblCellMar>
        </w:tblPrEx>
        <w:trPr>
          <w:trHeight w:val="567" w:hRule="atLeast"/>
        </w:trPr>
        <w:tc>
          <w:tcPr>
            <w:tcW w:w="2206" w:type="dxa"/>
            <w:tcBorders>
              <w:top w:val="single" w:color="auto" w:sz="4" w:space="0"/>
              <w:left w:val="single" w:color="auto" w:sz="8" w:space="0"/>
              <w:bottom w:val="single" w:color="auto" w:sz="8" w:space="0"/>
              <w:right w:val="single" w:color="auto" w:sz="8" w:space="0"/>
            </w:tcBorders>
            <w:shd w:val="clear" w:color="auto" w:fill="auto"/>
            <w:vAlign w:val="center"/>
          </w:tcPr>
          <w:p w14:paraId="3129051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4" w:space="0"/>
              <w:left w:val="nil"/>
              <w:bottom w:val="single" w:color="auto" w:sz="8" w:space="0"/>
              <w:right w:val="single" w:color="000000" w:sz="8" w:space="0"/>
            </w:tcBorders>
            <w:shd w:val="clear" w:color="auto" w:fill="auto"/>
            <w:vAlign w:val="center"/>
          </w:tcPr>
          <w:p w14:paraId="2D441E75">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14:paraId="55EBDCD4">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D0F2EA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54238A1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42B658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910D7B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79BDE93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275177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1DFBF11">
            <w:pPr>
              <w:widowControl/>
              <w:jc w:val="left"/>
              <w:rPr>
                <w:rFonts w:hint="eastAsia" w:ascii="仿宋_GB2312" w:hAnsi="宋体" w:eastAsia="仿宋_GB2312" w:cs="宋体"/>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14:paraId="266230E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BD5972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A5C6079">
            <w:pPr>
              <w:widowControl/>
              <w:jc w:val="left"/>
              <w:rPr>
                <w:rFonts w:ascii="仿宋_GB2312" w:hAnsi="宋体" w:eastAsia="仿宋_GB2312" w:cs="宋体"/>
                <w:color w:val="000000"/>
                <w:kern w:val="0"/>
                <w:szCs w:val="21"/>
              </w:rPr>
            </w:pPr>
            <w:r>
              <w:rPr>
                <w:rFonts w:hint="eastAsia" w:ascii="仿宋_GB2312" w:hAnsi="Calibri" w:eastAsia="仿宋_GB2312" w:cs="Calibri"/>
                <w:color w:val="000000"/>
                <w:kern w:val="0"/>
                <w:szCs w:val="21"/>
              </w:rPr>
              <w:t>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r>
              <w:rPr>
                <w:rFonts w:hint="eastAsia" w:ascii="仿宋_GB2312" w:hAnsi="宋体" w:eastAsia="仿宋_GB2312" w:cs="宋体"/>
                <w:color w:val="000000"/>
                <w:kern w:val="0"/>
                <w:szCs w:val="21"/>
              </w:rPr>
              <w:t>　</w:t>
            </w:r>
          </w:p>
        </w:tc>
      </w:tr>
      <w:tr w14:paraId="235D7609">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529F591">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69E2F61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5C0E34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73908F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93524E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45E153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90AB393">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bl>
    <w:p w14:paraId="3856A172">
      <w:pPr>
        <w:pStyle w:val="2"/>
        <w:keepNext w:val="0"/>
        <w:keepLines w:val="0"/>
        <w:pageBreakBefore w:val="0"/>
        <w:widowControl/>
        <w:numPr>
          <w:ilvl w:val="0"/>
          <w:numId w:val="2"/>
        </w:numPr>
        <w:suppressLineNumbers w:val="0"/>
        <w:kinsoku/>
        <w:wordWrap/>
        <w:overflowPunct/>
        <w:topLinePunct w:val="0"/>
        <w:autoSpaceDE w:val="0"/>
        <w:autoSpaceDN/>
        <w:bidi w:val="0"/>
        <w:adjustRightInd/>
        <w:snapToGrid/>
        <w:spacing w:beforeAutospacing="0" w:afterAutospacing="0" w:line="560" w:lineRule="exact"/>
        <w:ind w:left="645" w:leftChars="0" w:right="0" w:rightChars="0"/>
        <w:jc w:val="both"/>
        <w:textAlignment w:val="auto"/>
        <w:rPr>
          <w:rFonts w:hint="eastAsia" w:ascii="黑体" w:hAnsi="宋体" w:eastAsia="黑体" w:cs="黑体"/>
          <w:color w:val="000000"/>
          <w:sz w:val="32"/>
          <w:szCs w:val="32"/>
        </w:rPr>
      </w:pPr>
      <w:r>
        <w:rPr>
          <w:rFonts w:hint="eastAsia" w:ascii="黑体" w:hAnsi="宋体" w:eastAsia="黑体" w:cs="黑体"/>
          <w:color w:val="000000"/>
          <w:sz w:val="32"/>
          <w:szCs w:val="32"/>
        </w:rPr>
        <w:t>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3D867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09101FD0">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215082E2">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5F4D97A7">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394908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012B08C4">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1BC4D72C">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1218426A">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16BE3419">
            <w:pPr>
              <w:widowControl/>
              <w:jc w:val="center"/>
              <w:rPr>
                <w:rFonts w:ascii="黑体" w:hAnsi="黑体" w:eastAsia="黑体"/>
                <w:szCs w:val="21"/>
              </w:rPr>
            </w:pPr>
            <w:r>
              <w:rPr>
                <w:rFonts w:hint="eastAsia" w:ascii="黑体" w:hAnsi="黑体" w:eastAsia="黑体"/>
                <w:kern w:val="0"/>
                <w:szCs w:val="21"/>
              </w:rPr>
              <w:t>总计</w:t>
            </w:r>
          </w:p>
        </w:tc>
      </w:tr>
      <w:tr w14:paraId="0B93A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E0A528D">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5526C52E">
            <w:pPr>
              <w:jc w:val="center"/>
              <w:rPr>
                <w:rFonts w:ascii="黑体" w:hAnsi="黑体" w:eastAsia="黑体"/>
                <w:szCs w:val="21"/>
              </w:rPr>
            </w:pPr>
          </w:p>
        </w:tc>
        <w:tc>
          <w:tcPr>
            <w:tcW w:w="567" w:type="dxa"/>
            <w:shd w:val="clear" w:color="auto" w:fill="auto"/>
            <w:tcMar>
              <w:left w:w="108" w:type="dxa"/>
              <w:right w:w="108" w:type="dxa"/>
            </w:tcMar>
            <w:vAlign w:val="center"/>
          </w:tcPr>
          <w:p w14:paraId="4E9D759E">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246ED61A">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6373E311">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1B472860">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5C416DB2">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4A7509A1">
            <w:pPr>
              <w:jc w:val="center"/>
              <w:rPr>
                <w:rFonts w:ascii="仿宋_GB2312" w:hAnsi="Times New Roman" w:eastAsia="仿宋_GB2312"/>
                <w:szCs w:val="21"/>
              </w:rPr>
            </w:pPr>
          </w:p>
        </w:tc>
      </w:tr>
      <w:tr w14:paraId="49D77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0DA4B008">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1B08A00A">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1AC3B2F">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427FCA8">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B272E1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A27C6F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C3DA5F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08379C7">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25BDE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0F4B37C3">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3D248C9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161B698">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53FB8DC">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1A8548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C34D5C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6466A3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4E7F666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6997E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5AED262">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23B0D5DD">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4CFE816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38C67F3">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CAF8FB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2C9A5B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3D8B39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A09AE2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0B1DDE2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760E3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51A4D56">
            <w:pPr>
              <w:rPr>
                <w:rFonts w:ascii="黑体" w:hAnsi="黑体" w:eastAsia="黑体"/>
                <w:szCs w:val="21"/>
              </w:rPr>
            </w:pPr>
          </w:p>
        </w:tc>
        <w:tc>
          <w:tcPr>
            <w:tcW w:w="4677" w:type="dxa"/>
            <w:gridSpan w:val="2"/>
            <w:shd w:val="clear" w:color="auto" w:fill="auto"/>
            <w:tcMar>
              <w:left w:w="108" w:type="dxa"/>
              <w:right w:w="108" w:type="dxa"/>
            </w:tcMar>
            <w:vAlign w:val="center"/>
          </w:tcPr>
          <w:p w14:paraId="40D4F0AD">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439D3E7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E9BEC83">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13E36C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E561CD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269FA9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E5DE06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B14B5F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6DD8E3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4434AFF">
            <w:pPr>
              <w:rPr>
                <w:rFonts w:ascii="黑体" w:hAnsi="黑体" w:eastAsia="黑体"/>
                <w:szCs w:val="21"/>
              </w:rPr>
            </w:pPr>
          </w:p>
        </w:tc>
        <w:tc>
          <w:tcPr>
            <w:tcW w:w="1701" w:type="dxa"/>
            <w:vMerge w:val="restart"/>
            <w:shd w:val="clear" w:color="auto" w:fill="auto"/>
            <w:tcMar>
              <w:left w:w="108" w:type="dxa"/>
              <w:right w:w="108" w:type="dxa"/>
            </w:tcMar>
            <w:vAlign w:val="center"/>
          </w:tcPr>
          <w:p w14:paraId="77702E52">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4FBC22ED">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32C66823">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0B188D7">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1F49DA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C92762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445955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BE822B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FF8DF84">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57EFF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9894DDC">
            <w:pPr>
              <w:rPr>
                <w:rFonts w:ascii="黑体" w:hAnsi="黑体" w:eastAsia="黑体"/>
                <w:szCs w:val="21"/>
              </w:rPr>
            </w:pPr>
          </w:p>
        </w:tc>
        <w:tc>
          <w:tcPr>
            <w:tcW w:w="1701" w:type="dxa"/>
            <w:vMerge w:val="continue"/>
            <w:shd w:val="clear" w:color="auto" w:fill="auto"/>
            <w:tcMar>
              <w:left w:w="108" w:type="dxa"/>
              <w:right w:w="108" w:type="dxa"/>
            </w:tcMar>
            <w:vAlign w:val="center"/>
          </w:tcPr>
          <w:p w14:paraId="33540B7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20E811F">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39655ACC">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084A54F">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0A5C9E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284A9E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8FE1FD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2E6706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4460E0D">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31B43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DDC5516">
            <w:pPr>
              <w:rPr>
                <w:rFonts w:ascii="黑体" w:hAnsi="黑体" w:eastAsia="黑体"/>
                <w:szCs w:val="21"/>
              </w:rPr>
            </w:pPr>
          </w:p>
        </w:tc>
        <w:tc>
          <w:tcPr>
            <w:tcW w:w="1701" w:type="dxa"/>
            <w:vMerge w:val="continue"/>
            <w:shd w:val="clear" w:color="auto" w:fill="auto"/>
            <w:tcMar>
              <w:left w:w="108" w:type="dxa"/>
              <w:right w:w="108" w:type="dxa"/>
            </w:tcMar>
            <w:vAlign w:val="center"/>
          </w:tcPr>
          <w:p w14:paraId="6D004D17">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064412B">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689DD461">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14C86EB">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1D71DB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0582EC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6AF881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E9E26C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48A3F90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57C4C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FE7F484">
            <w:pPr>
              <w:rPr>
                <w:rFonts w:ascii="黑体" w:hAnsi="黑体" w:eastAsia="黑体"/>
                <w:szCs w:val="21"/>
              </w:rPr>
            </w:pPr>
          </w:p>
        </w:tc>
        <w:tc>
          <w:tcPr>
            <w:tcW w:w="1701" w:type="dxa"/>
            <w:vMerge w:val="continue"/>
            <w:shd w:val="clear" w:color="auto" w:fill="auto"/>
            <w:tcMar>
              <w:left w:w="108" w:type="dxa"/>
              <w:right w:w="108" w:type="dxa"/>
            </w:tcMar>
            <w:vAlign w:val="center"/>
          </w:tcPr>
          <w:p w14:paraId="5CE53B2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1AB1A76E">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2B3BB01C">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7B2A856">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60E369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B318D4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7F9A42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C874A5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74D2860">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7F85A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02607E8">
            <w:pPr>
              <w:rPr>
                <w:rFonts w:ascii="黑体" w:hAnsi="黑体" w:eastAsia="黑体"/>
                <w:szCs w:val="21"/>
              </w:rPr>
            </w:pPr>
          </w:p>
        </w:tc>
        <w:tc>
          <w:tcPr>
            <w:tcW w:w="1701" w:type="dxa"/>
            <w:vMerge w:val="continue"/>
            <w:shd w:val="clear" w:color="auto" w:fill="auto"/>
            <w:tcMar>
              <w:left w:w="108" w:type="dxa"/>
              <w:right w:w="108" w:type="dxa"/>
            </w:tcMar>
            <w:vAlign w:val="center"/>
          </w:tcPr>
          <w:p w14:paraId="0C77A0AD">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68E0ECF">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7AC8E8BE">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191DF58">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6821AC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F7AD84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B24E01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5CEEA2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5D9038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22DD92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6" w:type="dxa"/>
            <w:vMerge w:val="continue"/>
            <w:shd w:val="clear" w:color="auto" w:fill="auto"/>
            <w:tcMar>
              <w:left w:w="108" w:type="dxa"/>
              <w:right w:w="108" w:type="dxa"/>
            </w:tcMar>
            <w:vAlign w:val="center"/>
          </w:tcPr>
          <w:p w14:paraId="5B84A4C6">
            <w:pPr>
              <w:rPr>
                <w:rFonts w:ascii="黑体" w:hAnsi="黑体" w:eastAsia="黑体"/>
                <w:szCs w:val="21"/>
              </w:rPr>
            </w:pPr>
          </w:p>
        </w:tc>
        <w:tc>
          <w:tcPr>
            <w:tcW w:w="1701" w:type="dxa"/>
            <w:vMerge w:val="continue"/>
            <w:shd w:val="clear" w:color="auto" w:fill="auto"/>
            <w:tcMar>
              <w:left w:w="108" w:type="dxa"/>
              <w:right w:w="108" w:type="dxa"/>
            </w:tcMar>
            <w:vAlign w:val="center"/>
          </w:tcPr>
          <w:p w14:paraId="4B7E191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8C0932D">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072E46C8">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93D67FC">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D5713A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0DD2C0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A0BD60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217114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4AAE7DD">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4EC26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BD2F626">
            <w:pPr>
              <w:rPr>
                <w:rFonts w:ascii="黑体" w:hAnsi="黑体" w:eastAsia="黑体"/>
                <w:szCs w:val="21"/>
              </w:rPr>
            </w:pPr>
          </w:p>
        </w:tc>
        <w:tc>
          <w:tcPr>
            <w:tcW w:w="1701" w:type="dxa"/>
            <w:vMerge w:val="continue"/>
            <w:shd w:val="clear" w:color="auto" w:fill="auto"/>
            <w:tcMar>
              <w:left w:w="108" w:type="dxa"/>
              <w:right w:w="108" w:type="dxa"/>
            </w:tcMar>
            <w:vAlign w:val="center"/>
          </w:tcPr>
          <w:p w14:paraId="733B745A">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714D6C75">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0E6AE30B">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E5E02CD">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11944C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15750B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471D05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D7F018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4A770F6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53B4E3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08D2EA6">
            <w:pPr>
              <w:rPr>
                <w:rFonts w:ascii="黑体" w:hAnsi="黑体" w:eastAsia="黑体"/>
                <w:szCs w:val="21"/>
              </w:rPr>
            </w:pPr>
          </w:p>
        </w:tc>
        <w:tc>
          <w:tcPr>
            <w:tcW w:w="1701" w:type="dxa"/>
            <w:vMerge w:val="continue"/>
            <w:shd w:val="clear" w:color="auto" w:fill="auto"/>
            <w:tcMar>
              <w:left w:w="108" w:type="dxa"/>
              <w:right w:w="108" w:type="dxa"/>
            </w:tcMar>
            <w:vAlign w:val="center"/>
          </w:tcPr>
          <w:p w14:paraId="4A95131D">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40339D1">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3C758F85">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637CF27">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4945BF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5043B0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3451EA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58617F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6C72CAC0">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30E42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C55BE6D">
            <w:pPr>
              <w:rPr>
                <w:rFonts w:ascii="黑体" w:hAnsi="黑体" w:eastAsia="黑体"/>
                <w:szCs w:val="21"/>
              </w:rPr>
            </w:pPr>
          </w:p>
        </w:tc>
        <w:tc>
          <w:tcPr>
            <w:tcW w:w="1701" w:type="dxa"/>
            <w:vMerge w:val="restart"/>
            <w:shd w:val="clear" w:color="auto" w:fill="auto"/>
            <w:tcMar>
              <w:left w:w="108" w:type="dxa"/>
              <w:right w:w="108" w:type="dxa"/>
            </w:tcMar>
            <w:vAlign w:val="center"/>
          </w:tcPr>
          <w:p w14:paraId="6E9CE93B">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1482E5B7">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5B512C1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DDE52A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6F922C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6B7947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753188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3BD8C3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A9EDE9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052BA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295E27">
            <w:pPr>
              <w:rPr>
                <w:rFonts w:ascii="黑体" w:hAnsi="黑体" w:eastAsia="黑体"/>
                <w:szCs w:val="21"/>
              </w:rPr>
            </w:pPr>
          </w:p>
        </w:tc>
        <w:tc>
          <w:tcPr>
            <w:tcW w:w="1701" w:type="dxa"/>
            <w:vMerge w:val="continue"/>
            <w:shd w:val="clear" w:color="auto" w:fill="auto"/>
            <w:tcMar>
              <w:left w:w="108" w:type="dxa"/>
              <w:right w:w="108" w:type="dxa"/>
            </w:tcMar>
            <w:vAlign w:val="center"/>
          </w:tcPr>
          <w:p w14:paraId="33B16C84">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14:paraId="7E33D7AB">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066FDFF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547A8F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ECAB85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3F1916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A945BC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8F2ADD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9E85729">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183C6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2CBD0E7">
            <w:pPr>
              <w:rPr>
                <w:rFonts w:ascii="黑体" w:hAnsi="黑体" w:eastAsia="黑体"/>
                <w:szCs w:val="21"/>
              </w:rPr>
            </w:pPr>
          </w:p>
        </w:tc>
        <w:tc>
          <w:tcPr>
            <w:tcW w:w="1701" w:type="dxa"/>
            <w:vMerge w:val="continue"/>
            <w:shd w:val="clear" w:color="auto" w:fill="auto"/>
            <w:tcMar>
              <w:left w:w="108" w:type="dxa"/>
              <w:right w:w="108" w:type="dxa"/>
            </w:tcMar>
            <w:vAlign w:val="center"/>
          </w:tcPr>
          <w:p w14:paraId="40A81FA6">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14:paraId="2E025DE1">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7CB119A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B7E694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FCFAD7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52E053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0C7C56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4EB795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71899A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0BF7D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EDDF57">
            <w:pPr>
              <w:rPr>
                <w:rFonts w:ascii="黑体" w:hAnsi="黑体" w:eastAsia="黑体"/>
                <w:szCs w:val="21"/>
              </w:rPr>
            </w:pPr>
          </w:p>
        </w:tc>
        <w:tc>
          <w:tcPr>
            <w:tcW w:w="1701" w:type="dxa"/>
            <w:vMerge w:val="restart"/>
            <w:shd w:val="clear" w:color="auto" w:fill="auto"/>
            <w:tcMar>
              <w:left w:w="108" w:type="dxa"/>
              <w:right w:w="108" w:type="dxa"/>
            </w:tcMar>
            <w:vAlign w:val="center"/>
          </w:tcPr>
          <w:p w14:paraId="1A771268">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6ABD5484">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57304AD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8A69A8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6FAF9A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0DF242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CFE3D1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A742D7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36DB1ED">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7BB86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327A27B">
            <w:pPr>
              <w:rPr>
                <w:rFonts w:ascii="黑体" w:hAnsi="黑体" w:eastAsia="黑体"/>
                <w:szCs w:val="21"/>
              </w:rPr>
            </w:pPr>
          </w:p>
        </w:tc>
        <w:tc>
          <w:tcPr>
            <w:tcW w:w="1701" w:type="dxa"/>
            <w:vMerge w:val="continue"/>
            <w:shd w:val="clear" w:color="auto" w:fill="auto"/>
            <w:tcMar>
              <w:left w:w="108" w:type="dxa"/>
              <w:right w:w="108" w:type="dxa"/>
            </w:tcMar>
            <w:vAlign w:val="center"/>
          </w:tcPr>
          <w:p w14:paraId="1BA91D2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FA0CBB2">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403C595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B04660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919091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5B5ED8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246D07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221057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62784F1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0C14C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3FCC7AD">
            <w:pPr>
              <w:rPr>
                <w:rFonts w:ascii="黑体" w:hAnsi="黑体" w:eastAsia="黑体"/>
                <w:szCs w:val="21"/>
              </w:rPr>
            </w:pPr>
          </w:p>
        </w:tc>
        <w:tc>
          <w:tcPr>
            <w:tcW w:w="1701" w:type="dxa"/>
            <w:vMerge w:val="continue"/>
            <w:shd w:val="clear" w:color="auto" w:fill="auto"/>
            <w:tcMar>
              <w:left w:w="108" w:type="dxa"/>
              <w:right w:w="108" w:type="dxa"/>
            </w:tcMar>
            <w:vAlign w:val="center"/>
          </w:tcPr>
          <w:p w14:paraId="66182907">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748D7759">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3D46EEC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6F7D08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07CDAFC">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534ADE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4D67F0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F97D75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BB2D5F8">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178924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1BCEA40C">
            <w:pPr>
              <w:rPr>
                <w:rFonts w:ascii="黑体" w:hAnsi="黑体" w:eastAsia="黑体"/>
                <w:szCs w:val="21"/>
              </w:rPr>
            </w:pPr>
          </w:p>
        </w:tc>
        <w:tc>
          <w:tcPr>
            <w:tcW w:w="1701" w:type="dxa"/>
            <w:vMerge w:val="continue"/>
            <w:shd w:val="clear" w:color="auto" w:fill="auto"/>
            <w:tcMar>
              <w:left w:w="108" w:type="dxa"/>
              <w:right w:w="108" w:type="dxa"/>
            </w:tcMar>
            <w:vAlign w:val="center"/>
          </w:tcPr>
          <w:p w14:paraId="3AF1D307">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181C0B6">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372DA4E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64671D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75AA98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35407D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AE568A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53DCF9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AF05FE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485D1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EA507E2">
            <w:pPr>
              <w:rPr>
                <w:rFonts w:ascii="黑体" w:hAnsi="黑体" w:eastAsia="黑体"/>
                <w:szCs w:val="21"/>
              </w:rPr>
            </w:pPr>
          </w:p>
        </w:tc>
        <w:tc>
          <w:tcPr>
            <w:tcW w:w="1701" w:type="dxa"/>
            <w:vMerge w:val="continue"/>
            <w:shd w:val="clear" w:color="auto" w:fill="auto"/>
            <w:tcMar>
              <w:left w:w="108" w:type="dxa"/>
              <w:right w:w="108" w:type="dxa"/>
            </w:tcMar>
            <w:vAlign w:val="center"/>
          </w:tcPr>
          <w:p w14:paraId="194FBF4D">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CB2106D">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6B162BC5">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0359013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E55B3C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31E1EC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846D22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40D846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62404A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039842C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2EA9D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9D367E0">
            <w:pPr>
              <w:rPr>
                <w:rFonts w:ascii="黑体" w:hAnsi="黑体" w:eastAsia="黑体"/>
                <w:szCs w:val="21"/>
              </w:rPr>
            </w:pPr>
          </w:p>
        </w:tc>
        <w:tc>
          <w:tcPr>
            <w:tcW w:w="1701" w:type="dxa"/>
            <w:vMerge w:val="restart"/>
            <w:shd w:val="clear" w:color="auto" w:fill="auto"/>
            <w:tcMar>
              <w:left w:w="108" w:type="dxa"/>
              <w:right w:w="108" w:type="dxa"/>
            </w:tcMar>
            <w:vAlign w:val="center"/>
          </w:tcPr>
          <w:p w14:paraId="4B07607B">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5E32950C">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26D0F0E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1FB3E4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D4A2D6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7F5C43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B27CD9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849E8B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CD36EC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09C4E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14362E3">
            <w:pPr>
              <w:rPr>
                <w:rFonts w:ascii="黑体" w:hAnsi="黑体" w:eastAsia="黑体"/>
                <w:szCs w:val="21"/>
              </w:rPr>
            </w:pPr>
          </w:p>
        </w:tc>
        <w:tc>
          <w:tcPr>
            <w:tcW w:w="1701" w:type="dxa"/>
            <w:vMerge w:val="continue"/>
            <w:shd w:val="clear" w:color="auto" w:fill="auto"/>
            <w:tcMar>
              <w:left w:w="108" w:type="dxa"/>
              <w:right w:w="108" w:type="dxa"/>
            </w:tcMar>
            <w:vAlign w:val="center"/>
          </w:tcPr>
          <w:p w14:paraId="4717A762">
            <w:pPr>
              <w:widowControl/>
              <w:spacing w:line="300" w:lineRule="exact"/>
              <w:rPr>
                <w:rFonts w:ascii="黑体" w:hAnsi="黑体" w:eastAsia="黑体"/>
                <w:kern w:val="0"/>
                <w:szCs w:val="21"/>
              </w:rPr>
            </w:pPr>
          </w:p>
        </w:tc>
        <w:tc>
          <w:tcPr>
            <w:tcW w:w="2976" w:type="dxa"/>
            <w:shd w:val="clear" w:color="auto" w:fill="auto"/>
            <w:vAlign w:val="center"/>
          </w:tcPr>
          <w:p w14:paraId="3B646E73">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09BA6A8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87F66C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2C2048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CBC350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134E8D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793AE8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7B2EBC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4CFD7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5C5C172">
            <w:pPr>
              <w:rPr>
                <w:rFonts w:ascii="黑体" w:hAnsi="黑体" w:eastAsia="黑体"/>
                <w:szCs w:val="21"/>
              </w:rPr>
            </w:pPr>
          </w:p>
        </w:tc>
        <w:tc>
          <w:tcPr>
            <w:tcW w:w="1701" w:type="dxa"/>
            <w:vMerge w:val="continue"/>
            <w:shd w:val="clear" w:color="auto" w:fill="auto"/>
            <w:tcMar>
              <w:left w:w="108" w:type="dxa"/>
              <w:right w:w="108" w:type="dxa"/>
            </w:tcMar>
            <w:vAlign w:val="center"/>
          </w:tcPr>
          <w:p w14:paraId="4660E468">
            <w:pPr>
              <w:widowControl/>
              <w:spacing w:line="300" w:lineRule="exact"/>
              <w:rPr>
                <w:rFonts w:ascii="黑体" w:hAnsi="黑体" w:eastAsia="黑体"/>
                <w:kern w:val="0"/>
                <w:szCs w:val="21"/>
              </w:rPr>
            </w:pPr>
          </w:p>
        </w:tc>
        <w:tc>
          <w:tcPr>
            <w:tcW w:w="2976" w:type="dxa"/>
            <w:shd w:val="clear" w:color="auto" w:fill="auto"/>
            <w:vAlign w:val="center"/>
          </w:tcPr>
          <w:p w14:paraId="2DB05724">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44011F8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0E7D62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896C82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E68DB6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9102E3C">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B76668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20EF777">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66890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CA7BF33">
            <w:pPr>
              <w:rPr>
                <w:rFonts w:ascii="黑体" w:hAnsi="黑体" w:eastAsia="黑体"/>
                <w:szCs w:val="21"/>
              </w:rPr>
            </w:pPr>
          </w:p>
        </w:tc>
        <w:tc>
          <w:tcPr>
            <w:tcW w:w="4677" w:type="dxa"/>
            <w:gridSpan w:val="2"/>
            <w:shd w:val="clear" w:color="auto" w:fill="auto"/>
            <w:tcMar>
              <w:left w:w="108" w:type="dxa"/>
              <w:right w:w="108" w:type="dxa"/>
            </w:tcMar>
            <w:vAlign w:val="center"/>
          </w:tcPr>
          <w:p w14:paraId="5CBB0B64">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3EAA436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2FC697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AC7CCA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05A783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E544BA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F2B703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0F7589C">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10365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6C2F145D">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7E8937D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506928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4A3A63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2C685F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F39D2E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D949C0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C3A4E48">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14:paraId="45D6BBA5">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Chars="200" w:right="0" w:rightChars="0" w:firstLine="320" w:firstLineChars="100"/>
        <w:jc w:val="both"/>
        <w:textAlignment w:val="auto"/>
        <w:rPr>
          <w:rFonts w:hint="eastAsia" w:ascii="黑体" w:hAnsi="宋体" w:eastAsia="黑体" w:cs="黑体"/>
          <w:color w:val="000000"/>
          <w:sz w:val="32"/>
          <w:szCs w:val="32"/>
        </w:rPr>
      </w:pPr>
      <w:r>
        <w:rPr>
          <w:rFonts w:hint="eastAsia" w:ascii="黑体" w:hAnsi="宋体" w:eastAsia="黑体" w:cs="黑体"/>
          <w:color w:val="000000"/>
          <w:sz w:val="32"/>
          <w:szCs w:val="32"/>
          <w:lang w:val="en-US" w:eastAsia="zh-CN"/>
        </w:rPr>
        <w:t>四、</w:t>
      </w:r>
      <w:r>
        <w:rPr>
          <w:rFonts w:hint="eastAsia" w:ascii="黑体" w:hAnsi="宋体" w:eastAsia="黑体" w:cs="黑体"/>
          <w:color w:val="000000"/>
          <w:sz w:val="32"/>
          <w:szCs w:val="32"/>
        </w:rPr>
        <w:t>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ED254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C2E542C">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347C31E">
            <w:pPr>
              <w:widowControl/>
              <w:jc w:val="center"/>
              <w:rPr>
                <w:rFonts w:ascii="黑体" w:hAnsi="黑体" w:eastAsia="黑体"/>
              </w:rPr>
            </w:pPr>
            <w:r>
              <w:rPr>
                <w:rFonts w:ascii="黑体" w:hAnsi="黑体" w:eastAsia="黑体"/>
                <w:kern w:val="0"/>
                <w:sz w:val="20"/>
                <w:szCs w:val="20"/>
              </w:rPr>
              <w:t>行政诉讼</w:t>
            </w:r>
          </w:p>
        </w:tc>
      </w:tr>
      <w:tr w14:paraId="111C53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6C145A">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07AFC713">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63CBE7C">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C4F9110">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FD0632">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005A5C89">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255A239">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2A046B4B">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9A0B72B">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9B2D0B">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20D2B9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57A658">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24338EB">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B12334B">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158FB7">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C05CA1F">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64ADEB95">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9FF6EAC">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3FF278">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79EECD7E">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4F357CA">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63271360">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B4B2FD1">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FDD8DE2">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7FA6F2">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5281E496">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E77BA0">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51D2BA44">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70C9248">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7A8F7D1">
            <w:pPr>
              <w:widowControl/>
              <w:jc w:val="center"/>
              <w:rPr>
                <w:rFonts w:ascii="黑体" w:hAnsi="黑体" w:eastAsia="黑体"/>
              </w:rPr>
            </w:pPr>
            <w:r>
              <w:rPr>
                <w:rFonts w:ascii="黑体" w:hAnsi="黑体" w:eastAsia="黑体"/>
                <w:kern w:val="0"/>
                <w:sz w:val="20"/>
                <w:szCs w:val="20"/>
              </w:rPr>
              <w:t>总计</w:t>
            </w:r>
          </w:p>
        </w:tc>
      </w:tr>
      <w:tr w14:paraId="16A553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AA1D4C3">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8C014A4">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607CB3A">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75237A0">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280F3464">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1737E0CB">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26FB03F">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64C1B0C">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CA2AAEB">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319603">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16DB15D">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C4467A0">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9D69679">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1FD61BAC">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50968533">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14:paraId="62D53BB9">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20" w:firstLineChars="200"/>
        <w:jc w:val="both"/>
        <w:textAlignment w:val="auto"/>
        <w:rPr>
          <w:rFonts w:hint="default" w:ascii="仿宋_GB2312" w:eastAsia="仿宋_GB2312" w:cs="仿宋_GB2312"/>
          <w:sz w:val="31"/>
          <w:szCs w:val="31"/>
          <w:lang w:val="en-US" w:eastAsia="zh-CN"/>
        </w:rPr>
      </w:pPr>
      <w:r>
        <w:rPr>
          <w:rFonts w:ascii="黑体" w:hAnsi="宋体" w:eastAsia="黑体" w:cs="黑体"/>
          <w:color w:val="000000"/>
          <w:sz w:val="31"/>
          <w:szCs w:val="31"/>
        </w:rPr>
        <w:t>五</w:t>
      </w:r>
      <w:r>
        <w:rPr>
          <w:rFonts w:ascii="黑体" w:hAnsi="宋体" w:eastAsia="黑体" w:cs="黑体"/>
          <w:color w:val="000000"/>
          <w:sz w:val="32"/>
          <w:szCs w:val="32"/>
        </w:rPr>
        <w:t>、存在的主要问题及改进情况</w:t>
      </w:r>
    </w:p>
    <w:p w14:paraId="73694558">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针对政府网站栏目管理需进一步规范问题，区财政局高度重视，不断优化政府网站栏目设置，健全内容保障机制，定期检查政府网站各栏目更新情况，对不再更新栏目进行及时归档处理，避免出现信息内容表述不规范、发布时间混乱、栏目更新不及时等情形。同时，按要求完善政策性文件相关信息，建立健全政策全链条公开工作机制，文件发布后一时间安排专人进行外网检查，确保链接有效、要素齐全、格式准确。针对出现专用表述错误问题，均在在收到提示后第一时间整改。同时举一反三，在信息发布时重点检查政策法规名称错误、专用表述错误、机构/组织/会议名称错误、不文明/不恰当用语等严重错敏信息，避免出现同类问题。</w:t>
      </w:r>
    </w:p>
    <w:p w14:paraId="4BF16844">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5"/>
        <w:jc w:val="both"/>
        <w:textAlignment w:val="auto"/>
        <w:rPr>
          <w:sz w:val="32"/>
          <w:szCs w:val="32"/>
        </w:rPr>
      </w:pPr>
      <w:r>
        <w:rPr>
          <w:rFonts w:ascii="黑体" w:hAnsi="宋体" w:eastAsia="黑体" w:cs="黑体"/>
          <w:color w:val="000000"/>
          <w:sz w:val="32"/>
          <w:szCs w:val="32"/>
        </w:rPr>
        <w:t>六、其他需要报告的事项</w:t>
      </w:r>
    </w:p>
    <w:p w14:paraId="438728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1.依据</w:t>
      </w:r>
      <w:r>
        <w:rPr>
          <w:rFonts w:hint="eastAsia" w:ascii="仿宋_GB2312" w:hAnsi="仿宋_GB2312" w:eastAsia="仿宋_GB2312" w:cs="仿宋_GB2312"/>
          <w:i w:val="0"/>
          <w:iCs w:val="0"/>
          <w:caps w:val="0"/>
          <w:color w:val="000000"/>
          <w:spacing w:val="0"/>
          <w:sz w:val="32"/>
          <w:szCs w:val="32"/>
          <w:shd w:val="clear" w:fill="FFFFFF"/>
          <w:lang w:val="en-US" w:eastAsia="zh-CN"/>
        </w:rPr>
        <w:t>《政府信息公开信息处理费管理办法》，区财政局2024年未发生信息处理费收取情况。</w:t>
      </w:r>
    </w:p>
    <w:p w14:paraId="0E3CDD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2.区</w:t>
      </w:r>
      <w:r>
        <w:rPr>
          <w:rFonts w:hint="eastAsia" w:ascii="仿宋_GB2312" w:hAnsi="仿宋_GB2312" w:eastAsia="仿宋_GB2312" w:cs="仿宋_GB2312"/>
          <w:i w:val="0"/>
          <w:iCs w:val="0"/>
          <w:caps w:val="0"/>
          <w:color w:val="000000"/>
          <w:spacing w:val="0"/>
          <w:sz w:val="32"/>
          <w:szCs w:val="32"/>
          <w:shd w:val="clear" w:fill="FFFFFF"/>
          <w:lang w:val="en-US" w:eastAsia="zh-CN"/>
        </w:rPr>
        <w:t>财政</w:t>
      </w:r>
      <w:r>
        <w:rPr>
          <w:rFonts w:hint="eastAsia" w:ascii="仿宋_GB2312" w:hAnsi="仿宋_GB2312" w:eastAsia="仿宋_GB2312" w:cs="仿宋_GB2312"/>
          <w:i w:val="0"/>
          <w:iCs w:val="0"/>
          <w:caps w:val="0"/>
          <w:color w:val="000000"/>
          <w:spacing w:val="0"/>
          <w:sz w:val="32"/>
          <w:szCs w:val="32"/>
          <w:shd w:val="clear" w:fill="FFFFFF"/>
        </w:rPr>
        <w:t>局严格按照《</w:t>
      </w:r>
      <w:r>
        <w:rPr>
          <w:rFonts w:hint="eastAsia" w:ascii="仿宋_GB2312" w:hAnsi="仿宋_GB2312" w:eastAsia="仿宋_GB2312" w:cs="仿宋_GB2312"/>
          <w:i w:val="0"/>
          <w:iCs w:val="0"/>
          <w:caps w:val="0"/>
          <w:color w:val="000000"/>
          <w:spacing w:val="0"/>
          <w:sz w:val="32"/>
          <w:szCs w:val="32"/>
          <w:shd w:val="clear" w:fill="FFFFFF"/>
          <w:lang w:val="en-US" w:eastAsia="zh-CN"/>
        </w:rPr>
        <w:t>条例</w:t>
      </w:r>
      <w:r>
        <w:rPr>
          <w:rFonts w:hint="eastAsia" w:ascii="仿宋_GB2312" w:hAnsi="仿宋_GB2312" w:eastAsia="仿宋_GB2312" w:cs="仿宋_GB2312"/>
          <w:i w:val="0"/>
          <w:iCs w:val="0"/>
          <w:caps w:val="0"/>
          <w:color w:val="000000"/>
          <w:spacing w:val="0"/>
          <w:sz w:val="32"/>
          <w:szCs w:val="32"/>
          <w:shd w:val="clear" w:fill="FFFFFF"/>
        </w:rPr>
        <w:t>》要求，结合</w:t>
      </w:r>
      <w:r>
        <w:rPr>
          <w:rFonts w:hint="eastAsia" w:ascii="仿宋_GB2312" w:hAnsi="仿宋_GB2312" w:eastAsia="仿宋_GB2312" w:cs="仿宋_GB2312"/>
          <w:i w:val="0"/>
          <w:iCs w:val="0"/>
          <w:caps w:val="0"/>
          <w:color w:val="000000"/>
          <w:spacing w:val="0"/>
          <w:sz w:val="32"/>
          <w:szCs w:val="32"/>
          <w:shd w:val="clear" w:fill="FFFFFF"/>
          <w:lang w:val="en-US" w:eastAsia="zh-CN"/>
        </w:rPr>
        <w:t>日常</w:t>
      </w:r>
      <w:r>
        <w:rPr>
          <w:rFonts w:hint="eastAsia" w:ascii="仿宋_GB2312" w:hAnsi="仿宋_GB2312" w:eastAsia="仿宋_GB2312" w:cs="仿宋_GB2312"/>
          <w:i w:val="0"/>
          <w:iCs w:val="0"/>
          <w:caps w:val="0"/>
          <w:color w:val="000000"/>
          <w:spacing w:val="0"/>
          <w:sz w:val="32"/>
          <w:szCs w:val="32"/>
          <w:shd w:val="clear" w:fill="FFFFFF"/>
        </w:rPr>
        <w:t>工作实际，对202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年政务公开重点工作任务进行</w:t>
      </w:r>
      <w:r>
        <w:rPr>
          <w:rFonts w:hint="eastAsia" w:ascii="仿宋_GB2312" w:hAnsi="仿宋_GB2312" w:eastAsia="仿宋_GB2312" w:cs="仿宋_GB2312"/>
          <w:i w:val="0"/>
          <w:iCs w:val="0"/>
          <w:caps w:val="0"/>
          <w:color w:val="000000"/>
          <w:spacing w:val="0"/>
          <w:sz w:val="32"/>
          <w:szCs w:val="32"/>
          <w:shd w:val="clear" w:fill="FFFFFF"/>
          <w:lang w:val="en-US" w:eastAsia="zh-CN"/>
        </w:rPr>
        <w:t>部署安排</w:t>
      </w:r>
      <w:r>
        <w:rPr>
          <w:rFonts w:hint="eastAsia" w:ascii="仿宋_GB2312" w:hAnsi="仿宋_GB2312" w:eastAsia="仿宋_GB2312" w:cs="仿宋_GB2312"/>
          <w:i w:val="0"/>
          <w:iCs w:val="0"/>
          <w:caps w:val="0"/>
          <w:color w:val="000000"/>
          <w:spacing w:val="0"/>
          <w:sz w:val="32"/>
          <w:szCs w:val="32"/>
          <w:shd w:val="clear" w:fill="FFFFFF"/>
        </w:rPr>
        <w:t>，科学制定工作要点，</w:t>
      </w:r>
      <w:r>
        <w:rPr>
          <w:rFonts w:hint="eastAsia" w:ascii="仿宋_GB2312" w:hAnsi="仿宋_GB2312" w:eastAsia="仿宋_GB2312" w:cs="仿宋_GB2312"/>
          <w:i w:val="0"/>
          <w:iCs w:val="0"/>
          <w:caps w:val="0"/>
          <w:color w:val="000000"/>
          <w:spacing w:val="0"/>
          <w:sz w:val="32"/>
          <w:szCs w:val="32"/>
          <w:shd w:val="clear" w:fill="FFFFFF"/>
          <w:lang w:val="en-US" w:eastAsia="zh-CN"/>
        </w:rPr>
        <w:t>持续提升</w:t>
      </w:r>
      <w:r>
        <w:rPr>
          <w:rFonts w:hint="eastAsia" w:ascii="仿宋_GB2312" w:hAnsi="仿宋_GB2312" w:eastAsia="仿宋_GB2312" w:cs="仿宋_GB2312"/>
          <w:i w:val="0"/>
          <w:iCs w:val="0"/>
          <w:caps w:val="0"/>
          <w:color w:val="000000"/>
          <w:spacing w:val="0"/>
          <w:sz w:val="32"/>
          <w:szCs w:val="32"/>
          <w:shd w:val="clear" w:fill="FFFFFF"/>
        </w:rPr>
        <w:t>政务公开工作</w:t>
      </w:r>
      <w:r>
        <w:rPr>
          <w:rFonts w:hint="eastAsia" w:ascii="仿宋_GB2312" w:hAnsi="仿宋_GB2312" w:eastAsia="仿宋_GB2312" w:cs="仿宋_GB2312"/>
          <w:i w:val="0"/>
          <w:iCs w:val="0"/>
          <w:caps w:val="0"/>
          <w:color w:val="000000"/>
          <w:spacing w:val="0"/>
          <w:sz w:val="32"/>
          <w:szCs w:val="32"/>
          <w:shd w:val="clear" w:fill="FFFFFF"/>
          <w:lang w:val="en-US" w:eastAsia="zh-CN"/>
        </w:rPr>
        <w:t>水平</w:t>
      </w:r>
      <w:r>
        <w:rPr>
          <w:rFonts w:hint="eastAsia" w:ascii="仿宋_GB2312" w:hAnsi="仿宋_GB2312" w:eastAsia="仿宋_GB2312" w:cs="仿宋_GB2312"/>
          <w:i w:val="0"/>
          <w:iCs w:val="0"/>
          <w:caps w:val="0"/>
          <w:color w:val="000000"/>
          <w:spacing w:val="0"/>
          <w:sz w:val="32"/>
          <w:szCs w:val="32"/>
          <w:shd w:val="clear" w:fill="FFFFFF"/>
        </w:rPr>
        <w:t>。</w:t>
      </w:r>
    </w:p>
    <w:p w14:paraId="20E438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区</w:t>
      </w:r>
      <w:r>
        <w:rPr>
          <w:rFonts w:hint="eastAsia" w:ascii="仿宋_GB2312" w:hAnsi="仿宋_GB2312" w:eastAsia="仿宋_GB2312" w:cs="仿宋_GB2312"/>
          <w:i w:val="0"/>
          <w:iCs w:val="0"/>
          <w:caps w:val="0"/>
          <w:color w:val="000000"/>
          <w:spacing w:val="0"/>
          <w:sz w:val="32"/>
          <w:szCs w:val="32"/>
          <w:shd w:val="clear" w:fill="FFFFFF"/>
          <w:lang w:val="en-US" w:eastAsia="zh-CN"/>
        </w:rPr>
        <w:t>财政</w:t>
      </w:r>
      <w:r>
        <w:rPr>
          <w:rFonts w:hint="eastAsia" w:ascii="仿宋_GB2312" w:hAnsi="仿宋_GB2312" w:eastAsia="仿宋_GB2312" w:cs="仿宋_GB2312"/>
          <w:i w:val="0"/>
          <w:iCs w:val="0"/>
          <w:caps w:val="0"/>
          <w:color w:val="000000"/>
          <w:spacing w:val="0"/>
          <w:sz w:val="32"/>
          <w:szCs w:val="32"/>
          <w:shd w:val="clear" w:fill="FFFFFF"/>
        </w:rPr>
        <w:t>局本年度未收到人大建议及政协提案。</w:t>
      </w:r>
    </w:p>
    <w:p w14:paraId="437260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4.区财政局严格按照</w:t>
      </w:r>
      <w:r>
        <w:rPr>
          <w:rFonts w:hint="eastAsia" w:ascii="仿宋_GB2312" w:hAnsi="仿宋_GB2312" w:eastAsia="仿宋_GB2312" w:cs="仿宋_GB2312"/>
          <w:color w:val="000000"/>
          <w:sz w:val="32"/>
          <w:szCs w:val="32"/>
          <w:lang w:val="en-US" w:eastAsia="zh-CN"/>
        </w:rPr>
        <w:t>需公开政务信息及时公开，并按照“谁起草，谁解读”的原则对发布的政策文件予以解读，丰富政策解读形式。</w:t>
      </w:r>
    </w:p>
    <w:p w14:paraId="33BD27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.本报告中所列数据的统计期限为202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年1月1日至202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年12月31日。</w:t>
      </w:r>
    </w:p>
    <w:p w14:paraId="3E48FD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6</w:t>
      </w:r>
      <w:r>
        <w:rPr>
          <w:rFonts w:hint="eastAsia" w:ascii="仿宋_GB2312" w:hAnsi="仿宋_GB2312" w:eastAsia="仿宋_GB2312" w:cs="仿宋_GB2312"/>
          <w:i w:val="0"/>
          <w:iCs w:val="0"/>
          <w:caps w:val="0"/>
          <w:color w:val="000000"/>
          <w:spacing w:val="0"/>
          <w:sz w:val="32"/>
          <w:szCs w:val="32"/>
          <w:shd w:val="clear" w:fill="FFFFFF"/>
        </w:rPr>
        <w:t>.区</w:t>
      </w:r>
      <w:r>
        <w:rPr>
          <w:rFonts w:hint="eastAsia" w:ascii="仿宋_GB2312" w:hAnsi="仿宋_GB2312" w:eastAsia="仿宋_GB2312" w:cs="仿宋_GB2312"/>
          <w:i w:val="0"/>
          <w:iCs w:val="0"/>
          <w:caps w:val="0"/>
          <w:color w:val="000000"/>
          <w:spacing w:val="0"/>
          <w:sz w:val="32"/>
          <w:szCs w:val="32"/>
          <w:shd w:val="clear" w:fill="FFFFFF"/>
          <w:lang w:val="en-US" w:eastAsia="zh-CN"/>
        </w:rPr>
        <w:t>财政</w:t>
      </w:r>
      <w:r>
        <w:rPr>
          <w:rFonts w:hint="eastAsia" w:ascii="仿宋_GB2312" w:hAnsi="仿宋_GB2312" w:eastAsia="仿宋_GB2312" w:cs="仿宋_GB2312"/>
          <w:i w:val="0"/>
          <w:iCs w:val="0"/>
          <w:caps w:val="0"/>
          <w:color w:val="000000"/>
          <w:spacing w:val="0"/>
          <w:sz w:val="32"/>
          <w:szCs w:val="32"/>
          <w:shd w:val="clear" w:fill="FFFFFF"/>
        </w:rPr>
        <w:t>局本年度</w:t>
      </w:r>
      <w:r>
        <w:rPr>
          <w:rFonts w:hint="eastAsia" w:ascii="仿宋_GB2312" w:hAnsi="仿宋_GB2312" w:eastAsia="仿宋_GB2312" w:cs="仿宋_GB2312"/>
          <w:i w:val="0"/>
          <w:iCs w:val="0"/>
          <w:caps w:val="0"/>
          <w:color w:val="000000"/>
          <w:spacing w:val="0"/>
          <w:sz w:val="32"/>
          <w:szCs w:val="32"/>
          <w:shd w:val="clear" w:fill="FFFFFF"/>
          <w:lang w:val="en-US" w:eastAsia="zh-CN"/>
        </w:rPr>
        <w:t>认为</w:t>
      </w:r>
      <w:r>
        <w:rPr>
          <w:rFonts w:hint="eastAsia" w:ascii="仿宋_GB2312" w:hAnsi="仿宋_GB2312" w:eastAsia="仿宋_GB2312" w:cs="仿宋_GB2312"/>
          <w:i w:val="0"/>
          <w:iCs w:val="0"/>
          <w:caps w:val="0"/>
          <w:color w:val="000000"/>
          <w:spacing w:val="0"/>
          <w:sz w:val="32"/>
          <w:szCs w:val="32"/>
          <w:shd w:val="clear" w:fill="FFFFFF"/>
        </w:rPr>
        <w:t>其他需要报告的事项</w:t>
      </w:r>
      <w:r>
        <w:rPr>
          <w:rFonts w:hint="eastAsia" w:ascii="仿宋_GB2312" w:hAnsi="仿宋_GB2312" w:eastAsia="仿宋_GB2312" w:cs="仿宋_GB2312"/>
          <w:i w:val="0"/>
          <w:iCs w:val="0"/>
          <w:caps w:val="0"/>
          <w:color w:val="000000"/>
          <w:spacing w:val="0"/>
          <w:sz w:val="32"/>
          <w:szCs w:val="32"/>
          <w:shd w:val="clear" w:fill="FFFFFF"/>
          <w:lang w:val="en-US" w:eastAsia="zh-CN"/>
        </w:rPr>
        <w:t>无</w:t>
      </w:r>
      <w:r>
        <w:rPr>
          <w:rFonts w:hint="eastAsia" w:ascii="仿宋_GB2312" w:hAnsi="仿宋_GB2312" w:eastAsia="仿宋_GB2312" w:cs="仿宋_GB2312"/>
          <w:i w:val="0"/>
          <w:iCs w:val="0"/>
          <w:caps w:val="0"/>
          <w:color w:val="000000"/>
          <w:spacing w:val="0"/>
          <w:sz w:val="32"/>
          <w:szCs w:val="32"/>
          <w:shd w:val="clear" w:fill="FFFFFF"/>
        </w:rPr>
        <w:t>。</w:t>
      </w:r>
    </w:p>
    <w:p w14:paraId="0B71AF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ascii="仿宋_GB2312" w:eastAsia="仿宋_GB2312" w:cs="仿宋_GB2312"/>
          <w:color w:val="000000"/>
          <w:sz w:val="31"/>
          <w:szCs w:val="31"/>
        </w:rPr>
      </w:pP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.区</w:t>
      </w:r>
      <w:r>
        <w:rPr>
          <w:rFonts w:hint="eastAsia" w:ascii="仿宋_GB2312" w:hAnsi="仿宋_GB2312" w:eastAsia="仿宋_GB2312" w:cs="仿宋_GB2312"/>
          <w:i w:val="0"/>
          <w:iCs w:val="0"/>
          <w:caps w:val="0"/>
          <w:color w:val="000000"/>
          <w:spacing w:val="0"/>
          <w:sz w:val="32"/>
          <w:szCs w:val="32"/>
          <w:shd w:val="clear" w:fill="FFFFFF"/>
          <w:lang w:val="en-US" w:eastAsia="zh-CN"/>
        </w:rPr>
        <w:t>财政</w:t>
      </w:r>
      <w:r>
        <w:rPr>
          <w:rFonts w:hint="eastAsia" w:ascii="仿宋_GB2312" w:hAnsi="仿宋_GB2312" w:eastAsia="仿宋_GB2312" w:cs="仿宋_GB2312"/>
          <w:i w:val="0"/>
          <w:iCs w:val="0"/>
          <w:caps w:val="0"/>
          <w:color w:val="000000"/>
          <w:spacing w:val="0"/>
          <w:sz w:val="32"/>
          <w:szCs w:val="32"/>
          <w:shd w:val="clear" w:fill="FFFFFF"/>
        </w:rPr>
        <w:t>局无其他有关文件专门要求通过政府信息公开工作年度报告予以报告的事项。</w:t>
      </w:r>
    </w:p>
    <w:p w14:paraId="657ED4FE">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5902" w:firstLineChars="1904"/>
        <w:jc w:val="both"/>
        <w:textAlignment w:val="auto"/>
      </w:pPr>
      <w:r>
        <w:rPr>
          <w:rFonts w:hint="eastAsia" w:ascii="仿宋_GB2312" w:eastAsia="仿宋_GB2312" w:cs="仿宋_GB2312"/>
          <w:color w:val="000000"/>
          <w:sz w:val="31"/>
          <w:szCs w:val="31"/>
          <w:lang w:val="en-US" w:eastAsia="zh-CN"/>
        </w:rPr>
        <w:t>2025</w:t>
      </w:r>
      <w:bookmarkStart w:id="10" w:name="_GoBack"/>
      <w:bookmarkEnd w:id="10"/>
      <w:r>
        <w:rPr>
          <w:rFonts w:hint="eastAsia" w:ascii="仿宋_GB2312" w:eastAsia="仿宋_GB2312" w:cs="仿宋_GB2312"/>
          <w:color w:val="000000"/>
          <w:sz w:val="31"/>
          <w:szCs w:val="31"/>
          <w:lang w:val="en-US" w:eastAsia="zh-CN"/>
        </w:rPr>
        <w:t>年1月23日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BE84F"/>
    <w:multiLevelType w:val="singleLevel"/>
    <w:tmpl w:val="9BBBE84F"/>
    <w:lvl w:ilvl="0" w:tentative="0">
      <w:start w:val="1"/>
      <w:numFmt w:val="chineseCounting"/>
      <w:suff w:val="nothing"/>
      <w:lvlText w:val="（%1）"/>
      <w:lvlJc w:val="left"/>
      <w:rPr>
        <w:rFonts w:hint="eastAsia" w:ascii="楷体" w:hAnsi="楷体" w:eastAsia="楷体" w:cs="楷体"/>
      </w:rPr>
    </w:lvl>
  </w:abstractNum>
  <w:abstractNum w:abstractNumId="1">
    <w:nsid w:val="D9081982"/>
    <w:multiLevelType w:val="singleLevel"/>
    <w:tmpl w:val="D908198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MTI2MjU1MmM5MGQ1MWQ4M2RkZjIxZDZjOTIzNTkifQ=="/>
  </w:docVars>
  <w:rsids>
    <w:rsidRoot w:val="00000000"/>
    <w:rsid w:val="17751DD0"/>
    <w:rsid w:val="27575E12"/>
    <w:rsid w:val="31DC6514"/>
    <w:rsid w:val="35324476"/>
    <w:rsid w:val="39AC094F"/>
    <w:rsid w:val="424600D2"/>
    <w:rsid w:val="4CA74709"/>
    <w:rsid w:val="51AC1088"/>
    <w:rsid w:val="54AC42BC"/>
    <w:rsid w:val="56C92F9F"/>
    <w:rsid w:val="594C3B28"/>
    <w:rsid w:val="5BD177F0"/>
    <w:rsid w:val="6060706C"/>
    <w:rsid w:val="60A972F6"/>
    <w:rsid w:val="6414703C"/>
    <w:rsid w:val="70834FD8"/>
    <w:rsid w:val="733660D0"/>
    <w:rsid w:val="777B5852"/>
    <w:rsid w:val="79E86E7A"/>
    <w:rsid w:val="7A6930F8"/>
    <w:rsid w:val="7AA90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2424</Words>
  <Characters>2556</Characters>
  <Lines>0</Lines>
  <Paragraphs>0</Paragraphs>
  <TotalTime>47</TotalTime>
  <ScaleCrop>false</ScaleCrop>
  <LinksUpToDate>false</LinksUpToDate>
  <CharactersWithSpaces>2724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2022-01-20T07:12:00Z</dcterms:created>
  <dc:creator>HR</dc:creator>
  <cp:lastModifiedBy>WPS_1688092287</cp:lastModifiedBy>
  <cp:lastPrinted>2023-01-18T01:12:00Z</cp:lastPrinted>
  <dcterms:modified xsi:type="dcterms:W3CDTF">2025-01-23T06:07:41Z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BBED6A7E0D0E497196E7AB0C39910738_13</vt:lpwstr>
  </property>
  <property fmtid="{D5CDD505-2E9C-101B-9397-08002B2CF9AE}" pid="4" name="KSOTemplateDocerSaveRecord">
    <vt:lpwstr>eyJoZGlkIjoiYjMwMTI2MjU1MmM5MGQ1MWQ4M2RkZjIxZDZjOTIzNTkiLCJ1c2VySWQiOiIxNTEwNjMyMTMxIn0=</vt:lpwstr>
  </property>
</Properties>
</file>