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37D1">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pacing w:val="-17"/>
          <w:sz w:val="44"/>
          <w:szCs w:val="44"/>
          <w:shd w:val="clear" w:color="auto" w:fill="FFFFFF"/>
        </w:rPr>
      </w:pPr>
      <w:bookmarkStart w:id="10" w:name="_GoBack"/>
      <w:r>
        <w:rPr>
          <w:rFonts w:hint="eastAsia" w:ascii="方正小标宋简体" w:hAnsi="方正小标宋简体" w:eastAsia="方正小标宋简体" w:cs="方正小标宋简体"/>
          <w:bCs/>
          <w:color w:val="333333"/>
          <w:sz w:val="44"/>
          <w:szCs w:val="44"/>
          <w:shd w:val="clear" w:color="auto" w:fill="FFFFFF"/>
        </w:rPr>
        <w:t>枣庄市台儿庄区</w:t>
      </w:r>
      <w:r>
        <w:rPr>
          <w:rFonts w:hint="eastAsia" w:ascii="方正小标宋简体" w:hAnsi="方正小标宋简体" w:eastAsia="方正小标宋简体" w:cs="方正小标宋简体"/>
          <w:bCs/>
          <w:color w:val="333333"/>
          <w:spacing w:val="-17"/>
          <w:sz w:val="44"/>
          <w:szCs w:val="44"/>
          <w:shd w:val="clear" w:color="auto" w:fill="FFFFFF"/>
        </w:rPr>
        <w:t>司法局</w:t>
      </w:r>
    </w:p>
    <w:p w14:paraId="2D14094B">
      <w:pPr>
        <w:pStyle w:val="8"/>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4</w:t>
      </w:r>
      <w:r>
        <w:rPr>
          <w:rFonts w:hint="eastAsia" w:ascii="方正小标宋简体" w:hAnsi="方正小标宋简体" w:eastAsia="方正小标宋简体" w:cs="方正小标宋简体"/>
          <w:bCs/>
          <w:color w:val="333333"/>
          <w:spacing w:val="-17"/>
          <w:sz w:val="44"/>
          <w:szCs w:val="44"/>
          <w:shd w:val="clear" w:color="auto" w:fill="FFFFFF"/>
        </w:rPr>
        <w:t>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bookmarkEnd w:id="10"/>
    </w:p>
    <w:p w14:paraId="2EE6D358">
      <w:pPr>
        <w:pStyle w:val="8"/>
        <w:shd w:val="clear" w:color="auto" w:fill="FFFFFF"/>
        <w:spacing w:before="0" w:beforeAutospacing="0" w:after="0" w:afterAutospacing="0" w:line="560" w:lineRule="exact"/>
        <w:ind w:firstLine="457"/>
        <w:jc w:val="both"/>
        <w:rPr>
          <w:rFonts w:hint="eastAsia" w:ascii="仿宋_GB2312" w:eastAsia="仿宋_GB2312" w:cs="宋体"/>
          <w:color w:val="333333"/>
          <w:szCs w:val="24"/>
        </w:rPr>
      </w:pPr>
    </w:p>
    <w:p w14:paraId="77187E66">
      <w:pPr>
        <w:pStyle w:val="8"/>
        <w:numPr>
          <w:ilvl w:val="0"/>
          <w:numId w:val="0"/>
        </w:numPr>
        <w:shd w:val="clear" w:color="auto" w:fill="FFFFFF"/>
        <w:spacing w:before="0" w:beforeAutospacing="0" w:after="0" w:afterAutospacing="0" w:line="560" w:lineRule="exact"/>
        <w:ind w:firstLine="618" w:firstLineChars="200"/>
        <w:jc w:val="both"/>
        <w:rPr>
          <w:rFonts w:hint="eastAsia" w:ascii="仿宋_GB2312" w:hAnsi="宋体" w:eastAsia="仿宋_GB2312" w:cs="仿宋_GB2312"/>
          <w:color w:val="auto"/>
          <w:sz w:val="32"/>
          <w:szCs w:val="32"/>
          <w:shd w:val="clear" w:color="auto" w:fill="FFFFFF"/>
          <w:lang w:val="en-US" w:eastAsia="zh-CN"/>
        </w:rPr>
      </w:pPr>
      <w:r>
        <w:rPr>
          <w:rFonts w:hint="eastAsia" w:ascii="仿宋_GB2312" w:hAnsi="宋体" w:eastAsia="仿宋_GB2312" w:cs="仿宋_GB2312"/>
          <w:color w:val="auto"/>
          <w:sz w:val="32"/>
          <w:szCs w:val="32"/>
          <w:shd w:val="clear" w:color="auto" w:fill="FFFFFF"/>
          <w:lang w:val="en-US" w:eastAsia="zh-CN"/>
        </w:rPr>
        <w:t>根据《中华人民共和国政府信息公开条例》（国务院令第711号）相关规定及《台儿庄区人民政府办公室关于做好2024年政府信息公开工作年度报告编制和发布工作的通知》要求，现向社会公布台儿庄区司法局2024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2024年1月1日至2024年12月31日。本报告可通过台儿庄区政府门户网站（http://www.tez.gov.cn</w:t>
      </w:r>
      <w:r>
        <w:rPr>
          <w:rFonts w:hint="eastAsia" w:ascii="仿宋_GB2312" w:eastAsia="仿宋_GB2312" w:cs="仿宋_GB2312"/>
          <w:color w:val="auto"/>
          <w:sz w:val="32"/>
          <w:szCs w:val="32"/>
          <w:shd w:val="clear" w:color="auto" w:fill="FFFFFF"/>
          <w:lang w:val="en-US" w:eastAsia="zh-CN"/>
        </w:rPr>
        <w:t>）</w:t>
      </w:r>
      <w:r>
        <w:rPr>
          <w:rFonts w:hint="eastAsia" w:ascii="仿宋_GB2312" w:hAnsi="宋体" w:eastAsia="仿宋_GB2312" w:cs="仿宋_GB2312"/>
          <w:color w:val="auto"/>
          <w:sz w:val="32"/>
          <w:szCs w:val="32"/>
          <w:shd w:val="clear" w:color="auto" w:fill="FFFFFF"/>
          <w:lang w:val="en-US" w:eastAsia="zh-CN"/>
        </w:rPr>
        <w:t>查阅或下载。如对本报有疑问，请与台儿庄区司法局办公室联系（地址：台儿庄区华兴路1255号；邮编：277400；联系电话：0632-6611148；电子邮箱：tezqsfj@zz.shandong.cn）。</w:t>
      </w:r>
    </w:p>
    <w:p w14:paraId="4D7B0C4E">
      <w:pPr>
        <w:pStyle w:val="8"/>
        <w:numPr>
          <w:ilvl w:val="0"/>
          <w:numId w:val="1"/>
        </w:numPr>
        <w:shd w:val="clear" w:color="auto" w:fill="FFFFFF"/>
        <w:spacing w:before="0" w:beforeAutospacing="0" w:after="0" w:afterAutospacing="0" w:line="560" w:lineRule="exact"/>
        <w:ind w:firstLine="617"/>
        <w:jc w:val="both"/>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总体情况</w:t>
      </w:r>
    </w:p>
    <w:p w14:paraId="4780FB91">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2024年，枣庄市台儿庄区司法局坚持以习近平新时代中国特色社会主义思想为指导，认真贯彻落实区委、区政府关于政府信息公开工作的各项部署，拓展公开形式、回应社会关切，规范有序推动政府信息公开工作。</w:t>
      </w:r>
    </w:p>
    <w:p w14:paraId="4AA658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lang w:val="en-US" w:eastAsia="zh-CN"/>
        </w:rPr>
        <w:t>一）</w:t>
      </w:r>
      <w:r>
        <w:rPr>
          <w:rFonts w:hint="eastAsia" w:ascii="楷体_GB2312" w:hAnsi="楷体_GB2312" w:eastAsia="楷体_GB2312" w:cs="楷体_GB2312"/>
          <w:sz w:val="32"/>
          <w:szCs w:val="32"/>
          <w:shd w:val="clear" w:color="auto" w:fill="FFFFFF"/>
        </w:rPr>
        <w:t>主动公开方面。</w:t>
      </w:r>
      <w:r>
        <w:rPr>
          <w:rFonts w:hint="eastAsia" w:ascii="仿宋_GB2312" w:hAnsi="仿宋_GB2312" w:eastAsia="仿宋_GB2312" w:cs="仿宋_GB2312"/>
          <w:color w:val="auto"/>
          <w:sz w:val="32"/>
          <w:szCs w:val="32"/>
          <w:shd w:val="clear" w:color="auto" w:fill="FFFFFF"/>
        </w:rPr>
        <w:t>充分利用政府门户网站、</w:t>
      </w:r>
      <w:r>
        <w:rPr>
          <w:rFonts w:hint="eastAsia" w:ascii="仿宋_GB2312" w:hAnsi="仿宋_GB2312" w:eastAsia="仿宋_GB2312" w:cs="仿宋_GB2312"/>
          <w:color w:val="auto"/>
          <w:sz w:val="32"/>
          <w:szCs w:val="32"/>
          <w:shd w:val="clear" w:color="auto" w:fill="FFFFFF"/>
          <w:lang w:val="en-US" w:eastAsia="zh-CN"/>
        </w:rPr>
        <w:t>微信</w:t>
      </w:r>
      <w:r>
        <w:rPr>
          <w:rFonts w:hint="eastAsia" w:ascii="仿宋_GB2312" w:hAnsi="仿宋_GB2312" w:eastAsia="仿宋_GB2312" w:cs="仿宋_GB2312"/>
          <w:color w:val="auto"/>
          <w:sz w:val="32"/>
          <w:szCs w:val="32"/>
          <w:shd w:val="clear" w:color="auto" w:fill="FFFFFF"/>
        </w:rPr>
        <w:t>公众号等现代信息技术平台做好法定内容主动公开，</w:t>
      </w:r>
      <w:r>
        <w:rPr>
          <w:rFonts w:hint="eastAsia" w:ascii="仿宋_GB2312" w:hAnsi="仿宋_GB2312" w:eastAsia="仿宋_GB2312" w:cs="仿宋_GB2312"/>
          <w:color w:val="auto"/>
          <w:sz w:val="32"/>
          <w:szCs w:val="32"/>
          <w:shd w:val="clear" w:color="auto" w:fill="FFFFFF"/>
          <w:lang w:val="en-US" w:eastAsia="zh-CN"/>
        </w:rPr>
        <w:t>不断</w:t>
      </w:r>
      <w:r>
        <w:rPr>
          <w:rFonts w:hint="eastAsia" w:ascii="仿宋_GB2312" w:hAnsi="仿宋_GB2312" w:eastAsia="仿宋_GB2312" w:cs="仿宋_GB2312"/>
          <w:color w:val="auto"/>
          <w:sz w:val="32"/>
          <w:szCs w:val="32"/>
          <w:shd w:val="clear" w:color="auto" w:fill="FFFFFF"/>
        </w:rPr>
        <w:t>增强政府工作的透明度与公信力</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年依托台儿庄区政府门户网站发布各类信息</w:t>
      </w:r>
      <w:r>
        <w:rPr>
          <w:rFonts w:hint="eastAsia" w:ascii="仿宋_GB2312" w:hAnsi="仿宋_GB2312" w:eastAsia="仿宋_GB2312" w:cs="仿宋_GB2312"/>
          <w:color w:val="auto"/>
          <w:sz w:val="32"/>
          <w:szCs w:val="32"/>
          <w:shd w:val="clear" w:color="auto" w:fill="FFFFFF"/>
          <w:lang w:val="en-US" w:eastAsia="zh-CN"/>
        </w:rPr>
        <w:t>23</w:t>
      </w:r>
      <w:r>
        <w:rPr>
          <w:rFonts w:hint="eastAsia" w:ascii="仿宋_GB2312" w:hAnsi="仿宋_GB2312" w:eastAsia="仿宋_GB2312" w:cs="仿宋_GB2312"/>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lang w:val="en-US" w:eastAsia="zh-CN"/>
        </w:rPr>
        <w:t>通过</w:t>
      </w:r>
      <w:r>
        <w:rPr>
          <w:rFonts w:hint="eastAsia" w:ascii="仿宋_GB2312" w:hAnsi="仿宋_GB2312" w:eastAsia="仿宋_GB2312" w:cs="仿宋_GB2312"/>
          <w:color w:val="auto"/>
          <w:sz w:val="32"/>
          <w:szCs w:val="32"/>
          <w:shd w:val="clear" w:color="auto" w:fill="FFFFFF"/>
        </w:rPr>
        <w:t>“台儿庄司法”微信公众号发布</w:t>
      </w:r>
      <w:r>
        <w:rPr>
          <w:rFonts w:hint="eastAsia" w:ascii="仿宋_GB2312" w:hAnsi="仿宋_GB2312" w:eastAsia="仿宋_GB2312" w:cs="仿宋_GB2312"/>
          <w:color w:val="auto"/>
          <w:sz w:val="32"/>
          <w:szCs w:val="32"/>
          <w:shd w:val="clear" w:color="auto" w:fill="FFFFFF"/>
          <w:lang w:val="en-US" w:eastAsia="zh-CN"/>
        </w:rPr>
        <w:t>各类</w:t>
      </w:r>
      <w:r>
        <w:rPr>
          <w:rFonts w:hint="eastAsia" w:ascii="仿宋_GB2312" w:hAnsi="仿宋_GB2312" w:eastAsia="仿宋_GB2312" w:cs="仿宋_GB2312"/>
          <w:color w:val="auto"/>
          <w:sz w:val="32"/>
          <w:szCs w:val="32"/>
          <w:shd w:val="clear" w:color="auto" w:fill="FFFFFF"/>
        </w:rPr>
        <w:t>信息</w:t>
      </w:r>
      <w:r>
        <w:rPr>
          <w:rFonts w:hint="eastAsia" w:ascii="仿宋_GB2312" w:hAnsi="仿宋_GB2312" w:eastAsia="仿宋_GB2312" w:cs="仿宋_GB2312"/>
          <w:color w:val="auto"/>
          <w:sz w:val="32"/>
          <w:szCs w:val="32"/>
          <w:shd w:val="clear" w:color="auto" w:fill="FFFFFF"/>
          <w:lang w:val="en-US" w:eastAsia="zh-CN"/>
        </w:rPr>
        <w:t>518</w:t>
      </w:r>
      <w:r>
        <w:rPr>
          <w:rFonts w:hint="eastAsia" w:ascii="仿宋_GB2312" w:hAnsi="仿宋_GB2312" w:eastAsia="仿宋_GB2312" w:cs="仿宋_GB2312"/>
          <w:color w:val="auto"/>
          <w:sz w:val="32"/>
          <w:szCs w:val="32"/>
          <w:shd w:val="clear" w:color="auto" w:fill="FFFFFF"/>
        </w:rPr>
        <w:t>条。</w:t>
      </w:r>
    </w:p>
    <w:p w14:paraId="7A831FB8">
      <w:pPr>
        <w:spacing w:line="560" w:lineRule="exact"/>
        <w:ind w:firstLine="618" w:firstLineChars="200"/>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sz w:val="32"/>
          <w:szCs w:val="32"/>
        </w:rPr>
        <w:t>（二）依申请公开工作方面。</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年收到政府信息公开申请0件，与202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年相比无变化。</w:t>
      </w:r>
    </w:p>
    <w:p w14:paraId="7EE0DE2D">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sz w:val="32"/>
          <w:szCs w:val="32"/>
        </w:rPr>
        <w:t>（三）政府信息管理方面。</w:t>
      </w:r>
      <w:r>
        <w:rPr>
          <w:rFonts w:hint="eastAsia" w:ascii="仿宋_GB2312" w:hAnsi="仿宋_GB2312" w:eastAsia="仿宋_GB2312" w:cs="仿宋_GB2312"/>
          <w:color w:val="auto"/>
          <w:sz w:val="32"/>
          <w:szCs w:val="32"/>
          <w:shd w:val="clear" w:color="auto" w:fill="FFFFFF"/>
        </w:rPr>
        <w:t>严格执行政务公开审查制度</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坚持</w:t>
      </w:r>
      <w:r>
        <w:rPr>
          <w:rFonts w:hint="eastAsia" w:ascii="仿宋_GB2312" w:hAnsi="仿宋_GB2312" w:eastAsia="仿宋_GB2312" w:cs="仿宋_GB2312"/>
          <w:color w:val="auto"/>
          <w:sz w:val="32"/>
          <w:szCs w:val="32"/>
          <w:shd w:val="clear" w:color="auto" w:fill="FFFFFF"/>
        </w:rPr>
        <w:t>谁审核谁负责</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分级分类、先审后发</w:t>
      </w:r>
      <w:r>
        <w:rPr>
          <w:rFonts w:hint="eastAsia" w:ascii="仿宋_GB2312" w:hAnsi="仿宋_GB2312" w:eastAsia="仿宋_GB2312" w:cs="仿宋_GB2312"/>
          <w:color w:val="auto"/>
          <w:sz w:val="32"/>
          <w:szCs w:val="32"/>
          <w:shd w:val="clear" w:color="auto" w:fill="FFFFFF"/>
          <w:lang w:val="en-US" w:eastAsia="zh-CN"/>
        </w:rPr>
        <w:t>的原则</w:t>
      </w:r>
      <w:r>
        <w:rPr>
          <w:rFonts w:hint="eastAsia" w:ascii="仿宋_GB2312" w:hAnsi="仿宋_GB2312" w:eastAsia="仿宋_GB2312" w:cs="仿宋_GB2312"/>
          <w:color w:val="auto"/>
          <w:sz w:val="32"/>
          <w:szCs w:val="32"/>
          <w:shd w:val="clear" w:color="auto" w:fill="FFFFFF"/>
        </w:rPr>
        <w:t>，有效做到全局信息依法、依规、及时公开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严格规范信息采集、信息审核、信息发布的管理程序，确保信息内容的真实性、完整性、</w:t>
      </w:r>
      <w:r>
        <w:rPr>
          <w:rFonts w:hint="eastAsia" w:ascii="仿宋_GB2312" w:hAnsi="仿宋_GB2312" w:eastAsia="仿宋_GB2312" w:cs="仿宋_GB2312"/>
          <w:color w:val="auto"/>
          <w:sz w:val="32"/>
          <w:szCs w:val="32"/>
          <w:shd w:val="clear" w:color="auto" w:fill="FFFFFF"/>
          <w:lang w:val="en-US" w:eastAsia="zh-CN"/>
        </w:rPr>
        <w:t>准确</w:t>
      </w:r>
      <w:r>
        <w:rPr>
          <w:rFonts w:hint="eastAsia" w:ascii="仿宋_GB2312" w:hAnsi="仿宋_GB2312" w:eastAsia="仿宋_GB2312" w:cs="仿宋_GB2312"/>
          <w:color w:val="auto"/>
          <w:sz w:val="32"/>
          <w:szCs w:val="32"/>
          <w:shd w:val="clear" w:color="auto" w:fill="FFFFFF"/>
        </w:rPr>
        <w:t>性</w:t>
      </w:r>
      <w:r>
        <w:rPr>
          <w:rFonts w:hint="eastAsia" w:ascii="仿宋_GB2312" w:hAnsi="仿宋_GB2312" w:eastAsia="仿宋_GB2312" w:cs="仿宋_GB2312"/>
          <w:color w:val="auto"/>
          <w:sz w:val="32"/>
          <w:szCs w:val="32"/>
          <w:shd w:val="clear" w:color="auto" w:fill="FFFFFF"/>
          <w:lang w:val="en-US" w:eastAsia="zh-CN"/>
        </w:rPr>
        <w:t>。</w:t>
      </w:r>
    </w:p>
    <w:p w14:paraId="24F78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楷体" w:hAnsi="楷体" w:eastAsia="楷体" w:cs="楷体"/>
          <w:color w:val="000000"/>
          <w:kern w:val="2"/>
          <w:sz w:val="32"/>
          <w:szCs w:val="32"/>
          <w:highlight w:val="none"/>
          <w:shd w:val="clear" w:fill="FFFFFF"/>
          <w:lang w:val="en-US" w:eastAsia="zh-CN" w:bidi="ar-SA"/>
        </w:rPr>
        <w:t>（四）</w:t>
      </w:r>
      <w:r>
        <w:rPr>
          <w:rFonts w:hint="eastAsia" w:ascii="楷体" w:hAnsi="楷体" w:eastAsia="楷体" w:cs="楷体"/>
          <w:sz w:val="32"/>
          <w:szCs w:val="32"/>
          <w:highlight w:val="none"/>
        </w:rPr>
        <w:t>平台建设方面。</w:t>
      </w:r>
      <w:r>
        <w:rPr>
          <w:rFonts w:hint="eastAsia" w:ascii="仿宋_GB2312" w:hAnsi="仿宋_GB2312" w:eastAsia="仿宋_GB2312" w:cs="仿宋_GB2312"/>
          <w:color w:val="auto"/>
          <w:sz w:val="32"/>
          <w:szCs w:val="32"/>
          <w:highlight w:val="none"/>
          <w:shd w:val="clear" w:color="auto" w:fill="FFFFFF"/>
        </w:rPr>
        <w:t>拓宽信息公开渠道，通过政府门户网站及时发布政府信息</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结合受众阅读习惯和学法需求</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高效运营“台儿庄司法”微信公众号</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不断提升政务新媒体传播力、影响力</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不断增强群众获得感。</w:t>
      </w:r>
    </w:p>
    <w:p w14:paraId="1F8A04B4">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监督保障方面。</w:t>
      </w:r>
      <w:r>
        <w:rPr>
          <w:rFonts w:hint="eastAsia" w:ascii="仿宋_GB2312" w:hAnsi="仿宋_GB2312" w:eastAsia="仿宋_GB2312" w:cs="仿宋_GB2312"/>
          <w:color w:val="auto"/>
          <w:sz w:val="32"/>
          <w:szCs w:val="32"/>
          <w:highlight w:val="none"/>
          <w:shd w:val="clear" w:color="auto" w:fill="FFFFFF"/>
          <w:lang w:val="en-US" w:eastAsia="zh-CN"/>
        </w:rPr>
        <w:t>加强政府信息公开人员的培训和管理，不断</w:t>
      </w:r>
      <w:r>
        <w:rPr>
          <w:rFonts w:hint="eastAsia" w:ascii="仿宋_GB2312" w:hAnsi="仿宋_GB2312" w:eastAsia="仿宋_GB2312" w:cs="仿宋_GB2312"/>
          <w:color w:val="auto"/>
          <w:sz w:val="32"/>
          <w:szCs w:val="32"/>
          <w:highlight w:val="none"/>
          <w:shd w:val="clear" w:color="auto" w:fill="FFFFFF"/>
        </w:rPr>
        <w:t>提</w:t>
      </w:r>
      <w:r>
        <w:rPr>
          <w:rFonts w:hint="eastAsia" w:ascii="仿宋_GB2312" w:hAnsi="仿宋_GB2312" w:eastAsia="仿宋_GB2312" w:cs="仿宋_GB2312"/>
          <w:color w:val="auto"/>
          <w:sz w:val="32"/>
          <w:szCs w:val="32"/>
          <w:highlight w:val="none"/>
          <w:shd w:val="clear" w:color="auto" w:fill="FFFFFF"/>
          <w:lang w:val="en-US" w:eastAsia="zh-CN"/>
        </w:rPr>
        <w:t>高</w:t>
      </w:r>
      <w:r>
        <w:rPr>
          <w:rFonts w:hint="eastAsia" w:ascii="仿宋_GB2312" w:hAnsi="仿宋_GB2312" w:eastAsia="仿宋_GB2312" w:cs="仿宋_GB2312"/>
          <w:color w:val="auto"/>
          <w:sz w:val="32"/>
          <w:szCs w:val="32"/>
          <w:highlight w:val="none"/>
          <w:shd w:val="clear" w:color="auto" w:fill="FFFFFF"/>
        </w:rPr>
        <w:t>工作人员的应用能力和政府信息公开管理</w:t>
      </w:r>
      <w:r>
        <w:rPr>
          <w:rFonts w:hint="eastAsia" w:ascii="仿宋_GB2312" w:hAnsi="仿宋_GB2312" w:eastAsia="仿宋_GB2312" w:cs="仿宋_GB2312"/>
          <w:color w:val="auto"/>
          <w:sz w:val="32"/>
          <w:szCs w:val="32"/>
          <w:highlight w:val="none"/>
          <w:shd w:val="clear" w:color="auto" w:fill="FFFFFF"/>
          <w:lang w:val="en-US" w:eastAsia="zh-CN"/>
        </w:rPr>
        <w:t>水平</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选派精干人员负责政府信息公开工作，落实政府信息公开各项要求。</w:t>
      </w:r>
    </w:p>
    <w:p w14:paraId="5910E092">
      <w:pPr>
        <w:pStyle w:val="8"/>
        <w:shd w:val="clear" w:color="auto" w:fill="FFFFFF"/>
        <w:spacing w:before="0" w:beforeAutospacing="0" w:after="0" w:afterAutospacing="0" w:line="560" w:lineRule="exact"/>
        <w:ind w:firstLine="617"/>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20C061C4">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FFFFFF" w:themeFill="background1"/>
            <w:vAlign w:val="center"/>
          </w:tcPr>
          <w:p w14:paraId="4659792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31CEDA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4025DB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D97CEC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59C876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3871A5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5BD5101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9BB5D7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4D892B72">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27402725">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06DB18AE">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14:paraId="7750344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B60174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6EEAE86F">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113C79AE">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270B87EC">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3AEFA1B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FFFFFF" w:themeFill="background1"/>
            <w:vAlign w:val="center"/>
          </w:tcPr>
          <w:p w14:paraId="2F956F0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426AB6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074F83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701FCC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C70085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F8A2D0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570ECAE">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r w14:paraId="2650863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FFFFFF" w:themeFill="background1"/>
            <w:vAlign w:val="center"/>
          </w:tcPr>
          <w:p w14:paraId="7B3F51F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085E088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50E77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BE848D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E26C88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F2BD5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413C1DA">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14:paraId="016173A0">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BB91D6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199B12C">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14:paraId="35481DE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FFFFFF" w:themeFill="background1"/>
            <w:vAlign w:val="center"/>
          </w:tcPr>
          <w:p w14:paraId="7E81EF8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0ECD7B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DB62B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F904FE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C95AB9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E88DCA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8C14E3F">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bl>
    <w:p w14:paraId="3B095CC6">
      <w:pPr>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0"/>
        <w:tblW w:w="90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9"/>
        <w:gridCol w:w="1566"/>
        <w:gridCol w:w="2973"/>
        <w:gridCol w:w="752"/>
        <w:gridCol w:w="540"/>
        <w:gridCol w:w="540"/>
        <w:gridCol w:w="720"/>
        <w:gridCol w:w="675"/>
        <w:gridCol w:w="526"/>
        <w:gridCol w:w="408"/>
      </w:tblGrid>
      <w:tr w14:paraId="199A2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08" w:type="dxa"/>
            <w:gridSpan w:val="3"/>
            <w:vMerge w:val="restart"/>
            <w:shd w:val="clear" w:color="auto" w:fill="auto"/>
            <w:tcMar>
              <w:left w:w="108" w:type="dxa"/>
              <w:right w:w="108" w:type="dxa"/>
            </w:tcMar>
            <w:vAlign w:val="center"/>
          </w:tcPr>
          <w:p w14:paraId="10779779">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90BF054">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161" w:type="dxa"/>
            <w:gridSpan w:val="7"/>
            <w:shd w:val="clear" w:color="auto" w:fill="auto"/>
            <w:tcMar>
              <w:left w:w="108" w:type="dxa"/>
              <w:right w:w="108" w:type="dxa"/>
            </w:tcMar>
            <w:vAlign w:val="center"/>
          </w:tcPr>
          <w:p w14:paraId="188B1F26">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338E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908" w:type="dxa"/>
            <w:gridSpan w:val="3"/>
            <w:vMerge w:val="continue"/>
            <w:shd w:val="clear" w:color="auto" w:fill="auto"/>
            <w:tcMar>
              <w:left w:w="108" w:type="dxa"/>
              <w:right w:w="108" w:type="dxa"/>
            </w:tcMar>
            <w:vAlign w:val="center"/>
          </w:tcPr>
          <w:p w14:paraId="4522B7F8">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645487B4">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2493AD9D">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408" w:type="dxa"/>
            <w:vMerge w:val="restart"/>
            <w:shd w:val="clear" w:color="auto" w:fill="auto"/>
            <w:tcMar>
              <w:left w:w="108" w:type="dxa"/>
              <w:right w:w="108" w:type="dxa"/>
            </w:tcMar>
            <w:vAlign w:val="center"/>
          </w:tcPr>
          <w:p w14:paraId="60846DC9">
            <w:pPr>
              <w:widowControl/>
              <w:jc w:val="center"/>
              <w:rPr>
                <w:rFonts w:ascii="黑体" w:hAnsi="黑体" w:eastAsia="黑体"/>
                <w:szCs w:val="21"/>
              </w:rPr>
            </w:pPr>
            <w:r>
              <w:rPr>
                <w:rFonts w:hint="eastAsia" w:ascii="黑体" w:hAnsi="黑体" w:eastAsia="黑体"/>
                <w:kern w:val="0"/>
                <w:szCs w:val="21"/>
              </w:rPr>
              <w:t>总计</w:t>
            </w:r>
          </w:p>
        </w:tc>
      </w:tr>
      <w:tr w14:paraId="3FFDA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908" w:type="dxa"/>
            <w:gridSpan w:val="3"/>
            <w:vMerge w:val="continue"/>
            <w:shd w:val="clear" w:color="auto" w:fill="auto"/>
            <w:tcMar>
              <w:left w:w="108" w:type="dxa"/>
              <w:right w:w="108" w:type="dxa"/>
            </w:tcMar>
            <w:vAlign w:val="center"/>
          </w:tcPr>
          <w:p w14:paraId="77E46051">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53251114">
            <w:pPr>
              <w:jc w:val="center"/>
              <w:rPr>
                <w:rFonts w:ascii="黑体" w:hAnsi="黑体" w:eastAsia="黑体"/>
                <w:szCs w:val="21"/>
              </w:rPr>
            </w:pPr>
          </w:p>
        </w:tc>
        <w:tc>
          <w:tcPr>
            <w:tcW w:w="540" w:type="dxa"/>
            <w:shd w:val="clear" w:color="auto" w:fill="auto"/>
            <w:tcMar>
              <w:left w:w="108" w:type="dxa"/>
              <w:right w:w="108" w:type="dxa"/>
            </w:tcMar>
            <w:vAlign w:val="center"/>
          </w:tcPr>
          <w:p w14:paraId="310DC1FA">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4D147481">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109C69B8">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17A05B1D">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4814ECBE">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408" w:type="dxa"/>
            <w:vMerge w:val="continue"/>
            <w:shd w:val="clear" w:color="auto" w:fill="auto"/>
            <w:tcMar>
              <w:left w:w="108" w:type="dxa"/>
              <w:right w:w="108" w:type="dxa"/>
            </w:tcMar>
            <w:vAlign w:val="center"/>
          </w:tcPr>
          <w:p w14:paraId="202C97F7">
            <w:pPr>
              <w:jc w:val="center"/>
              <w:rPr>
                <w:rFonts w:ascii="仿宋_GB2312" w:eastAsia="仿宋_GB2312"/>
                <w:szCs w:val="21"/>
              </w:rPr>
            </w:pPr>
          </w:p>
        </w:tc>
      </w:tr>
      <w:tr w14:paraId="2DD47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08" w:type="dxa"/>
            <w:gridSpan w:val="3"/>
            <w:shd w:val="clear" w:color="auto" w:fill="auto"/>
            <w:tcMar>
              <w:left w:w="108" w:type="dxa"/>
              <w:right w:w="108" w:type="dxa"/>
            </w:tcMar>
            <w:vAlign w:val="center"/>
          </w:tcPr>
          <w:p w14:paraId="43441833">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652E76A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A3665FE">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01CB34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01B74C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0DF9BC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5B71B9C">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389D0BB0">
            <w:pPr>
              <w:widowControl/>
              <w:spacing w:line="240" w:lineRule="exact"/>
              <w:jc w:val="center"/>
              <w:rPr>
                <w:rFonts w:ascii="仿宋_GB2312" w:eastAsia="仿宋_GB2312"/>
                <w:szCs w:val="21"/>
              </w:rPr>
            </w:pPr>
            <w:r>
              <w:rPr>
                <w:rFonts w:hint="eastAsia" w:ascii="仿宋_GB2312" w:eastAsia="仿宋_GB2312"/>
                <w:szCs w:val="21"/>
              </w:rPr>
              <w:t>0</w:t>
            </w:r>
          </w:p>
        </w:tc>
      </w:tr>
      <w:tr w14:paraId="74885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08" w:type="dxa"/>
            <w:gridSpan w:val="3"/>
            <w:shd w:val="clear" w:color="auto" w:fill="auto"/>
            <w:tcMar>
              <w:left w:w="108" w:type="dxa"/>
              <w:right w:w="108" w:type="dxa"/>
            </w:tcMar>
            <w:vAlign w:val="center"/>
          </w:tcPr>
          <w:p w14:paraId="2B4E95F8">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101822B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338C88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9E98CA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E4BED7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C96089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79D1BA4">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7B26FEB4">
            <w:pPr>
              <w:widowControl/>
              <w:spacing w:line="240" w:lineRule="exact"/>
              <w:jc w:val="center"/>
              <w:rPr>
                <w:rFonts w:ascii="仿宋_GB2312" w:eastAsia="仿宋_GB2312"/>
                <w:szCs w:val="21"/>
              </w:rPr>
            </w:pPr>
            <w:r>
              <w:rPr>
                <w:rFonts w:hint="eastAsia" w:ascii="仿宋_GB2312" w:eastAsia="仿宋_GB2312"/>
                <w:szCs w:val="21"/>
              </w:rPr>
              <w:t>0</w:t>
            </w:r>
          </w:p>
        </w:tc>
      </w:tr>
      <w:tr w14:paraId="11081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restart"/>
            <w:shd w:val="clear" w:color="auto" w:fill="auto"/>
            <w:tcMar>
              <w:left w:w="108" w:type="dxa"/>
              <w:right w:w="108" w:type="dxa"/>
            </w:tcMar>
            <w:vAlign w:val="center"/>
          </w:tcPr>
          <w:p w14:paraId="05FD2052">
            <w:pPr>
              <w:widowControl/>
              <w:spacing w:after="180"/>
              <w:rPr>
                <w:rFonts w:ascii="黑体" w:hAnsi="黑体" w:eastAsia="黑体"/>
                <w:szCs w:val="21"/>
              </w:rPr>
            </w:pPr>
            <w:r>
              <w:rPr>
                <w:rFonts w:hint="eastAsia" w:ascii="黑体" w:hAnsi="黑体" w:eastAsia="黑体"/>
                <w:kern w:val="0"/>
                <w:szCs w:val="21"/>
              </w:rPr>
              <w:t>三、本年度办理结果</w:t>
            </w:r>
          </w:p>
        </w:tc>
        <w:tc>
          <w:tcPr>
            <w:tcW w:w="4539" w:type="dxa"/>
            <w:gridSpan w:val="2"/>
            <w:shd w:val="clear" w:color="auto" w:fill="auto"/>
            <w:tcMar>
              <w:left w:w="108" w:type="dxa"/>
              <w:right w:w="108" w:type="dxa"/>
            </w:tcMar>
            <w:vAlign w:val="center"/>
          </w:tcPr>
          <w:p w14:paraId="33DAE3D0">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EFAD48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08DCE0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0AE111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081331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4D1826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2786F29">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5CE64221">
            <w:pPr>
              <w:widowControl/>
              <w:spacing w:line="240" w:lineRule="exact"/>
              <w:jc w:val="center"/>
              <w:rPr>
                <w:rFonts w:ascii="仿宋_GB2312" w:eastAsia="仿宋_GB2312"/>
                <w:szCs w:val="21"/>
              </w:rPr>
            </w:pPr>
            <w:r>
              <w:rPr>
                <w:rFonts w:hint="eastAsia" w:ascii="仿宋_GB2312" w:eastAsia="仿宋_GB2312"/>
                <w:szCs w:val="21"/>
              </w:rPr>
              <w:t>0</w:t>
            </w:r>
          </w:p>
        </w:tc>
      </w:tr>
      <w:tr w14:paraId="55EC6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5AA565BA">
            <w:pPr>
              <w:rPr>
                <w:rFonts w:ascii="黑体" w:hAnsi="黑体" w:eastAsia="黑体"/>
                <w:szCs w:val="21"/>
              </w:rPr>
            </w:pPr>
          </w:p>
        </w:tc>
        <w:tc>
          <w:tcPr>
            <w:tcW w:w="4539" w:type="dxa"/>
            <w:gridSpan w:val="2"/>
            <w:shd w:val="clear" w:color="auto" w:fill="auto"/>
            <w:tcMar>
              <w:left w:w="108" w:type="dxa"/>
              <w:right w:w="108" w:type="dxa"/>
            </w:tcMar>
            <w:vAlign w:val="center"/>
          </w:tcPr>
          <w:p w14:paraId="59CFDE1A">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1B48544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2648E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7B0BCD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BF749C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C9D68E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6E2D445">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07898260">
            <w:pPr>
              <w:widowControl/>
              <w:spacing w:line="240" w:lineRule="exact"/>
              <w:jc w:val="center"/>
              <w:rPr>
                <w:rFonts w:ascii="仿宋_GB2312" w:eastAsia="仿宋_GB2312"/>
                <w:szCs w:val="21"/>
              </w:rPr>
            </w:pPr>
            <w:r>
              <w:rPr>
                <w:rFonts w:hint="eastAsia" w:ascii="仿宋_GB2312" w:eastAsia="仿宋_GB2312"/>
                <w:szCs w:val="21"/>
              </w:rPr>
              <w:t>0</w:t>
            </w:r>
          </w:p>
        </w:tc>
      </w:tr>
      <w:tr w14:paraId="2CA69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3FACA7DE">
            <w:pPr>
              <w:rPr>
                <w:rFonts w:ascii="黑体" w:hAnsi="黑体" w:eastAsia="黑体"/>
                <w:szCs w:val="21"/>
              </w:rPr>
            </w:pPr>
          </w:p>
        </w:tc>
        <w:tc>
          <w:tcPr>
            <w:tcW w:w="1566" w:type="dxa"/>
            <w:vMerge w:val="restart"/>
            <w:shd w:val="clear" w:color="auto" w:fill="auto"/>
            <w:tcMar>
              <w:left w:w="108" w:type="dxa"/>
              <w:right w:w="108" w:type="dxa"/>
            </w:tcMar>
            <w:vAlign w:val="center"/>
          </w:tcPr>
          <w:p w14:paraId="74B790FC">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507BE142">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6F96878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4C5A5B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BBE4F4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07FE5E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6CC029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9567625">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5C633F9F">
            <w:pPr>
              <w:widowControl/>
              <w:spacing w:line="240" w:lineRule="exact"/>
              <w:jc w:val="center"/>
              <w:rPr>
                <w:rFonts w:ascii="仿宋_GB2312" w:eastAsia="仿宋_GB2312"/>
                <w:szCs w:val="21"/>
              </w:rPr>
            </w:pPr>
            <w:r>
              <w:rPr>
                <w:rFonts w:hint="eastAsia" w:ascii="仿宋_GB2312" w:eastAsia="仿宋_GB2312"/>
                <w:szCs w:val="21"/>
              </w:rPr>
              <w:t>0</w:t>
            </w:r>
          </w:p>
        </w:tc>
      </w:tr>
      <w:tr w14:paraId="6CC8BE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5439458F">
            <w:pPr>
              <w:rPr>
                <w:rFonts w:ascii="黑体" w:hAnsi="黑体" w:eastAsia="黑体"/>
                <w:szCs w:val="21"/>
              </w:rPr>
            </w:pPr>
          </w:p>
        </w:tc>
        <w:tc>
          <w:tcPr>
            <w:tcW w:w="1566" w:type="dxa"/>
            <w:vMerge w:val="continue"/>
            <w:shd w:val="clear" w:color="auto" w:fill="auto"/>
            <w:tcMar>
              <w:left w:w="108" w:type="dxa"/>
              <w:right w:w="108" w:type="dxa"/>
            </w:tcMar>
            <w:vAlign w:val="center"/>
          </w:tcPr>
          <w:p w14:paraId="6ACAD7B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88CF3BA">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2AE6CF4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0D4BF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0969278">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84A69C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1FB683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F55FF6">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7D5C185E">
            <w:pPr>
              <w:widowControl/>
              <w:spacing w:line="240" w:lineRule="exact"/>
              <w:jc w:val="center"/>
              <w:rPr>
                <w:rFonts w:ascii="仿宋_GB2312" w:eastAsia="仿宋_GB2312"/>
                <w:szCs w:val="21"/>
              </w:rPr>
            </w:pPr>
            <w:r>
              <w:rPr>
                <w:rFonts w:hint="eastAsia" w:ascii="仿宋_GB2312" w:eastAsia="仿宋_GB2312"/>
                <w:szCs w:val="21"/>
              </w:rPr>
              <w:t>0</w:t>
            </w:r>
          </w:p>
        </w:tc>
      </w:tr>
      <w:tr w14:paraId="1CA07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7A302CB5">
            <w:pPr>
              <w:rPr>
                <w:rFonts w:ascii="黑体" w:hAnsi="黑体" w:eastAsia="黑体"/>
                <w:szCs w:val="21"/>
              </w:rPr>
            </w:pPr>
          </w:p>
        </w:tc>
        <w:tc>
          <w:tcPr>
            <w:tcW w:w="1566" w:type="dxa"/>
            <w:vMerge w:val="continue"/>
            <w:shd w:val="clear" w:color="auto" w:fill="auto"/>
            <w:tcMar>
              <w:left w:w="108" w:type="dxa"/>
              <w:right w:w="108" w:type="dxa"/>
            </w:tcMar>
            <w:vAlign w:val="center"/>
          </w:tcPr>
          <w:p w14:paraId="6F8738A6">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A35F4F9">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195826C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20EA83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12E8CA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DFD6EE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5606700">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E7A65C1">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158BA27F">
            <w:pPr>
              <w:widowControl/>
              <w:spacing w:line="240" w:lineRule="exact"/>
              <w:jc w:val="center"/>
              <w:rPr>
                <w:rFonts w:ascii="仿宋_GB2312" w:eastAsia="仿宋_GB2312"/>
                <w:szCs w:val="21"/>
              </w:rPr>
            </w:pPr>
            <w:r>
              <w:rPr>
                <w:rFonts w:hint="eastAsia" w:ascii="仿宋_GB2312" w:eastAsia="仿宋_GB2312"/>
                <w:szCs w:val="21"/>
              </w:rPr>
              <w:t>0</w:t>
            </w:r>
          </w:p>
        </w:tc>
      </w:tr>
      <w:tr w14:paraId="6E36C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3C03E7F1">
            <w:pPr>
              <w:rPr>
                <w:rFonts w:ascii="黑体" w:hAnsi="黑体" w:eastAsia="黑体"/>
                <w:szCs w:val="21"/>
              </w:rPr>
            </w:pPr>
          </w:p>
        </w:tc>
        <w:tc>
          <w:tcPr>
            <w:tcW w:w="1566" w:type="dxa"/>
            <w:vMerge w:val="continue"/>
            <w:shd w:val="clear" w:color="auto" w:fill="auto"/>
            <w:tcMar>
              <w:left w:w="108" w:type="dxa"/>
              <w:right w:w="108" w:type="dxa"/>
            </w:tcMar>
            <w:vAlign w:val="center"/>
          </w:tcPr>
          <w:p w14:paraId="1D9EC72A">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FABC07D">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6510355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9F720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504CB0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91B5D4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EBD0EC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B71F6F9">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48A284BB">
            <w:pPr>
              <w:widowControl/>
              <w:spacing w:line="240" w:lineRule="exact"/>
              <w:jc w:val="center"/>
              <w:rPr>
                <w:rFonts w:ascii="仿宋_GB2312" w:eastAsia="仿宋_GB2312"/>
                <w:szCs w:val="21"/>
              </w:rPr>
            </w:pPr>
            <w:r>
              <w:rPr>
                <w:rFonts w:hint="eastAsia" w:ascii="仿宋_GB2312" w:eastAsia="仿宋_GB2312"/>
                <w:szCs w:val="21"/>
              </w:rPr>
              <w:t>0</w:t>
            </w:r>
          </w:p>
        </w:tc>
      </w:tr>
      <w:tr w14:paraId="4E876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17B846AB">
            <w:pPr>
              <w:rPr>
                <w:rFonts w:ascii="黑体" w:hAnsi="黑体" w:eastAsia="黑体"/>
                <w:szCs w:val="21"/>
              </w:rPr>
            </w:pPr>
          </w:p>
        </w:tc>
        <w:tc>
          <w:tcPr>
            <w:tcW w:w="1566" w:type="dxa"/>
            <w:vMerge w:val="continue"/>
            <w:shd w:val="clear" w:color="auto" w:fill="auto"/>
            <w:tcMar>
              <w:left w:w="108" w:type="dxa"/>
              <w:right w:w="108" w:type="dxa"/>
            </w:tcMar>
            <w:vAlign w:val="center"/>
          </w:tcPr>
          <w:p w14:paraId="7FE3C4C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7502CA5">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1369740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E07170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D66A56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B8170F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65B5F5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8240FE0">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25E3CCB6">
            <w:pPr>
              <w:widowControl/>
              <w:spacing w:line="240" w:lineRule="exact"/>
              <w:jc w:val="center"/>
              <w:rPr>
                <w:rFonts w:ascii="仿宋_GB2312" w:eastAsia="仿宋_GB2312"/>
                <w:szCs w:val="21"/>
              </w:rPr>
            </w:pPr>
            <w:r>
              <w:rPr>
                <w:rFonts w:hint="eastAsia" w:ascii="仿宋_GB2312" w:eastAsia="仿宋_GB2312"/>
                <w:szCs w:val="21"/>
              </w:rPr>
              <w:t>0</w:t>
            </w:r>
          </w:p>
        </w:tc>
      </w:tr>
      <w:tr w14:paraId="74954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0ED8407C">
            <w:pPr>
              <w:rPr>
                <w:rFonts w:ascii="黑体" w:hAnsi="黑体" w:eastAsia="黑体"/>
                <w:szCs w:val="21"/>
              </w:rPr>
            </w:pPr>
          </w:p>
        </w:tc>
        <w:tc>
          <w:tcPr>
            <w:tcW w:w="1566" w:type="dxa"/>
            <w:vMerge w:val="continue"/>
            <w:shd w:val="clear" w:color="auto" w:fill="auto"/>
            <w:tcMar>
              <w:left w:w="108" w:type="dxa"/>
              <w:right w:w="108" w:type="dxa"/>
            </w:tcMar>
            <w:vAlign w:val="center"/>
          </w:tcPr>
          <w:p w14:paraId="19789A86">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4C0EFF2">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751DB6B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97494A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9E94720">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EEC8E8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0F5930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2F70E48">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05CAF453">
            <w:pPr>
              <w:widowControl/>
              <w:spacing w:line="240" w:lineRule="exact"/>
              <w:jc w:val="center"/>
              <w:rPr>
                <w:rFonts w:ascii="仿宋_GB2312" w:eastAsia="仿宋_GB2312"/>
                <w:szCs w:val="21"/>
              </w:rPr>
            </w:pPr>
            <w:r>
              <w:rPr>
                <w:rFonts w:hint="eastAsia" w:ascii="仿宋_GB2312" w:eastAsia="仿宋_GB2312"/>
                <w:szCs w:val="21"/>
              </w:rPr>
              <w:t>0</w:t>
            </w:r>
          </w:p>
        </w:tc>
      </w:tr>
      <w:tr w14:paraId="327A6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7D8C1EFC">
            <w:pPr>
              <w:rPr>
                <w:rFonts w:ascii="黑体" w:hAnsi="黑体" w:eastAsia="黑体"/>
                <w:szCs w:val="21"/>
              </w:rPr>
            </w:pPr>
          </w:p>
        </w:tc>
        <w:tc>
          <w:tcPr>
            <w:tcW w:w="1566" w:type="dxa"/>
            <w:vMerge w:val="continue"/>
            <w:shd w:val="clear" w:color="auto" w:fill="auto"/>
            <w:tcMar>
              <w:left w:w="108" w:type="dxa"/>
              <w:right w:w="108" w:type="dxa"/>
            </w:tcMar>
            <w:vAlign w:val="center"/>
          </w:tcPr>
          <w:p w14:paraId="3A068C73">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5AEA83F">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5C9E81A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E274CD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70DA3C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84746A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085383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22B0AED">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185E5D07">
            <w:pPr>
              <w:widowControl/>
              <w:spacing w:line="240" w:lineRule="exact"/>
              <w:jc w:val="center"/>
              <w:rPr>
                <w:rFonts w:ascii="仿宋_GB2312" w:eastAsia="仿宋_GB2312"/>
                <w:szCs w:val="21"/>
              </w:rPr>
            </w:pPr>
            <w:r>
              <w:rPr>
                <w:rFonts w:hint="eastAsia" w:ascii="仿宋_GB2312" w:eastAsia="仿宋_GB2312"/>
                <w:szCs w:val="21"/>
              </w:rPr>
              <w:t>0</w:t>
            </w:r>
          </w:p>
        </w:tc>
      </w:tr>
      <w:tr w14:paraId="28C7F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33AE1EC6">
            <w:pPr>
              <w:rPr>
                <w:rFonts w:ascii="黑体" w:hAnsi="黑体" w:eastAsia="黑体"/>
                <w:szCs w:val="21"/>
              </w:rPr>
            </w:pPr>
          </w:p>
        </w:tc>
        <w:tc>
          <w:tcPr>
            <w:tcW w:w="1566" w:type="dxa"/>
            <w:vMerge w:val="continue"/>
            <w:shd w:val="clear" w:color="auto" w:fill="auto"/>
            <w:tcMar>
              <w:left w:w="108" w:type="dxa"/>
              <w:right w:w="108" w:type="dxa"/>
            </w:tcMar>
            <w:vAlign w:val="center"/>
          </w:tcPr>
          <w:p w14:paraId="4695CC85">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5F47D61">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003C291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7C91B2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9201950">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42C76AF">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D4A5E8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E86EDF3">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11123320">
            <w:pPr>
              <w:widowControl/>
              <w:spacing w:line="240" w:lineRule="exact"/>
              <w:jc w:val="center"/>
              <w:rPr>
                <w:rFonts w:ascii="仿宋_GB2312" w:eastAsia="仿宋_GB2312"/>
                <w:szCs w:val="21"/>
              </w:rPr>
            </w:pPr>
            <w:r>
              <w:rPr>
                <w:rFonts w:hint="eastAsia" w:ascii="仿宋_GB2312" w:eastAsia="仿宋_GB2312"/>
                <w:szCs w:val="21"/>
              </w:rPr>
              <w:t>0</w:t>
            </w:r>
          </w:p>
        </w:tc>
      </w:tr>
      <w:tr w14:paraId="468B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7FDAF6A8">
            <w:pPr>
              <w:rPr>
                <w:rFonts w:ascii="黑体" w:hAnsi="黑体" w:eastAsia="黑体"/>
                <w:szCs w:val="21"/>
              </w:rPr>
            </w:pPr>
          </w:p>
        </w:tc>
        <w:tc>
          <w:tcPr>
            <w:tcW w:w="1566" w:type="dxa"/>
            <w:vMerge w:val="restart"/>
            <w:shd w:val="clear" w:color="auto" w:fill="auto"/>
            <w:tcMar>
              <w:left w:w="108" w:type="dxa"/>
              <w:right w:w="108" w:type="dxa"/>
            </w:tcMar>
            <w:vAlign w:val="center"/>
          </w:tcPr>
          <w:p w14:paraId="17EF7AEE">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280B980E">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226B362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79E822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757DC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A75C8E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409F2F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727415C">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078CA28B">
            <w:pPr>
              <w:widowControl/>
              <w:spacing w:line="240" w:lineRule="exact"/>
              <w:jc w:val="center"/>
              <w:rPr>
                <w:rFonts w:ascii="仿宋_GB2312" w:eastAsia="仿宋_GB2312"/>
                <w:szCs w:val="21"/>
              </w:rPr>
            </w:pPr>
            <w:r>
              <w:rPr>
                <w:rFonts w:hint="eastAsia" w:ascii="仿宋_GB2312" w:eastAsia="仿宋_GB2312"/>
                <w:szCs w:val="21"/>
              </w:rPr>
              <w:t>0</w:t>
            </w:r>
          </w:p>
        </w:tc>
      </w:tr>
      <w:tr w14:paraId="30209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52762E45">
            <w:pPr>
              <w:rPr>
                <w:rFonts w:ascii="黑体" w:hAnsi="黑体" w:eastAsia="黑体"/>
                <w:szCs w:val="21"/>
              </w:rPr>
            </w:pPr>
          </w:p>
        </w:tc>
        <w:tc>
          <w:tcPr>
            <w:tcW w:w="1566" w:type="dxa"/>
            <w:vMerge w:val="continue"/>
            <w:shd w:val="clear" w:color="auto" w:fill="auto"/>
            <w:tcMar>
              <w:left w:w="108" w:type="dxa"/>
              <w:right w:w="108" w:type="dxa"/>
            </w:tcMar>
            <w:vAlign w:val="center"/>
          </w:tcPr>
          <w:p w14:paraId="548C5154">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193B183A">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14EF823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5E4737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99381A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36DA88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18D93B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05708DA">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5FBBA00C">
            <w:pPr>
              <w:widowControl/>
              <w:spacing w:line="240" w:lineRule="exact"/>
              <w:jc w:val="center"/>
              <w:rPr>
                <w:rFonts w:ascii="仿宋_GB2312" w:eastAsia="仿宋_GB2312"/>
                <w:szCs w:val="21"/>
              </w:rPr>
            </w:pPr>
            <w:r>
              <w:rPr>
                <w:rFonts w:hint="eastAsia" w:ascii="仿宋_GB2312" w:eastAsia="仿宋_GB2312"/>
                <w:szCs w:val="21"/>
              </w:rPr>
              <w:t>0</w:t>
            </w:r>
          </w:p>
        </w:tc>
      </w:tr>
      <w:tr w14:paraId="02245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37A08BE8">
            <w:pPr>
              <w:rPr>
                <w:rFonts w:ascii="黑体" w:hAnsi="黑体" w:eastAsia="黑体"/>
                <w:szCs w:val="21"/>
              </w:rPr>
            </w:pPr>
          </w:p>
        </w:tc>
        <w:tc>
          <w:tcPr>
            <w:tcW w:w="1566" w:type="dxa"/>
            <w:vMerge w:val="continue"/>
            <w:shd w:val="clear" w:color="auto" w:fill="auto"/>
            <w:tcMar>
              <w:left w:w="108" w:type="dxa"/>
              <w:right w:w="108" w:type="dxa"/>
            </w:tcMar>
            <w:vAlign w:val="center"/>
          </w:tcPr>
          <w:p w14:paraId="240A90CD">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77215DFA">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6CBE6B1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989B44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A60F7D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B84121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10C375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6A5C8E7">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7A5AF039">
            <w:pPr>
              <w:widowControl/>
              <w:spacing w:line="240" w:lineRule="exact"/>
              <w:jc w:val="center"/>
              <w:rPr>
                <w:rFonts w:ascii="仿宋_GB2312" w:eastAsia="仿宋_GB2312"/>
                <w:szCs w:val="21"/>
              </w:rPr>
            </w:pPr>
            <w:r>
              <w:rPr>
                <w:rFonts w:hint="eastAsia" w:ascii="仿宋_GB2312" w:eastAsia="仿宋_GB2312"/>
                <w:szCs w:val="21"/>
              </w:rPr>
              <w:t>0</w:t>
            </w:r>
          </w:p>
        </w:tc>
      </w:tr>
      <w:tr w14:paraId="1743F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1CB623B2">
            <w:pPr>
              <w:rPr>
                <w:rFonts w:ascii="黑体" w:hAnsi="黑体" w:eastAsia="黑体"/>
                <w:szCs w:val="21"/>
              </w:rPr>
            </w:pPr>
          </w:p>
        </w:tc>
        <w:tc>
          <w:tcPr>
            <w:tcW w:w="1566" w:type="dxa"/>
            <w:vMerge w:val="restart"/>
            <w:shd w:val="clear" w:color="auto" w:fill="auto"/>
            <w:tcMar>
              <w:left w:w="108" w:type="dxa"/>
              <w:right w:w="108" w:type="dxa"/>
            </w:tcMar>
            <w:vAlign w:val="center"/>
          </w:tcPr>
          <w:p w14:paraId="0E2AADA1">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2F139FAE">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0835DB0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E8066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6E0A1C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F7CDCE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1E2F89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ECFF380">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78855C3C">
            <w:pPr>
              <w:widowControl/>
              <w:spacing w:line="240" w:lineRule="exact"/>
              <w:jc w:val="center"/>
              <w:rPr>
                <w:rFonts w:ascii="仿宋_GB2312" w:eastAsia="仿宋_GB2312"/>
                <w:szCs w:val="21"/>
              </w:rPr>
            </w:pPr>
            <w:r>
              <w:rPr>
                <w:rFonts w:hint="eastAsia" w:ascii="仿宋_GB2312" w:eastAsia="仿宋_GB2312"/>
                <w:szCs w:val="21"/>
              </w:rPr>
              <w:t>0</w:t>
            </w:r>
          </w:p>
        </w:tc>
      </w:tr>
      <w:tr w14:paraId="6EF53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4D884566">
            <w:pPr>
              <w:rPr>
                <w:rFonts w:ascii="黑体" w:hAnsi="黑体" w:eastAsia="黑体"/>
                <w:szCs w:val="21"/>
              </w:rPr>
            </w:pPr>
          </w:p>
        </w:tc>
        <w:tc>
          <w:tcPr>
            <w:tcW w:w="1566" w:type="dxa"/>
            <w:vMerge w:val="continue"/>
            <w:shd w:val="clear" w:color="auto" w:fill="auto"/>
            <w:tcMar>
              <w:left w:w="108" w:type="dxa"/>
              <w:right w:w="108" w:type="dxa"/>
            </w:tcMar>
            <w:vAlign w:val="center"/>
          </w:tcPr>
          <w:p w14:paraId="6B45158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A0174EE">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781573A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372E20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ADD737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0F3D1D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358861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E669DDB">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56F504A0">
            <w:pPr>
              <w:widowControl/>
              <w:spacing w:line="240" w:lineRule="exact"/>
              <w:jc w:val="center"/>
              <w:rPr>
                <w:rFonts w:ascii="仿宋_GB2312" w:eastAsia="仿宋_GB2312"/>
                <w:szCs w:val="21"/>
              </w:rPr>
            </w:pPr>
            <w:r>
              <w:rPr>
                <w:rFonts w:hint="eastAsia" w:ascii="仿宋_GB2312" w:eastAsia="仿宋_GB2312"/>
                <w:szCs w:val="21"/>
              </w:rPr>
              <w:t>0</w:t>
            </w:r>
          </w:p>
        </w:tc>
      </w:tr>
      <w:tr w14:paraId="14067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69" w:type="dxa"/>
            <w:vMerge w:val="continue"/>
            <w:shd w:val="clear" w:color="auto" w:fill="auto"/>
            <w:tcMar>
              <w:left w:w="108" w:type="dxa"/>
              <w:right w:w="108" w:type="dxa"/>
            </w:tcMar>
            <w:vAlign w:val="center"/>
          </w:tcPr>
          <w:p w14:paraId="12B8DA9D">
            <w:pPr>
              <w:rPr>
                <w:rFonts w:ascii="黑体" w:hAnsi="黑体" w:eastAsia="黑体"/>
                <w:szCs w:val="21"/>
              </w:rPr>
            </w:pPr>
          </w:p>
        </w:tc>
        <w:tc>
          <w:tcPr>
            <w:tcW w:w="1566" w:type="dxa"/>
            <w:vMerge w:val="continue"/>
            <w:shd w:val="clear" w:color="auto" w:fill="auto"/>
            <w:tcMar>
              <w:left w:w="108" w:type="dxa"/>
              <w:right w:w="108" w:type="dxa"/>
            </w:tcMar>
            <w:vAlign w:val="center"/>
          </w:tcPr>
          <w:p w14:paraId="5B68E0B8">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EBC1C88">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6F257A6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4A3829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90645A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3142FD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C5D70D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9815C53">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78DAE926">
            <w:pPr>
              <w:widowControl/>
              <w:spacing w:line="240" w:lineRule="exact"/>
              <w:jc w:val="center"/>
              <w:rPr>
                <w:rFonts w:ascii="仿宋_GB2312" w:eastAsia="仿宋_GB2312"/>
                <w:szCs w:val="21"/>
              </w:rPr>
            </w:pPr>
            <w:r>
              <w:rPr>
                <w:rFonts w:hint="eastAsia" w:ascii="仿宋_GB2312" w:eastAsia="仿宋_GB2312"/>
                <w:szCs w:val="21"/>
              </w:rPr>
              <w:t>0</w:t>
            </w:r>
          </w:p>
        </w:tc>
      </w:tr>
      <w:tr w14:paraId="08E1A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69" w:type="dxa"/>
            <w:vMerge w:val="continue"/>
            <w:shd w:val="clear" w:color="auto" w:fill="auto"/>
            <w:tcMar>
              <w:left w:w="108" w:type="dxa"/>
              <w:right w:w="108" w:type="dxa"/>
            </w:tcMar>
            <w:vAlign w:val="center"/>
          </w:tcPr>
          <w:p w14:paraId="094CF1AA">
            <w:pPr>
              <w:rPr>
                <w:rFonts w:ascii="黑体" w:hAnsi="黑体" w:eastAsia="黑体"/>
                <w:szCs w:val="21"/>
              </w:rPr>
            </w:pPr>
          </w:p>
        </w:tc>
        <w:tc>
          <w:tcPr>
            <w:tcW w:w="1566" w:type="dxa"/>
            <w:vMerge w:val="continue"/>
            <w:shd w:val="clear" w:color="auto" w:fill="auto"/>
            <w:tcMar>
              <w:left w:w="108" w:type="dxa"/>
              <w:right w:w="108" w:type="dxa"/>
            </w:tcMar>
            <w:vAlign w:val="center"/>
          </w:tcPr>
          <w:p w14:paraId="6758172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0B08C13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062BFD3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3EA717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25F8E6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E1290D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9B522C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494A19D">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42E9D14A">
            <w:pPr>
              <w:widowControl/>
              <w:spacing w:line="240" w:lineRule="exact"/>
              <w:jc w:val="center"/>
              <w:rPr>
                <w:rFonts w:ascii="仿宋_GB2312" w:eastAsia="仿宋_GB2312"/>
                <w:szCs w:val="21"/>
              </w:rPr>
            </w:pPr>
            <w:r>
              <w:rPr>
                <w:rFonts w:hint="eastAsia" w:ascii="仿宋_GB2312" w:eastAsia="仿宋_GB2312"/>
                <w:szCs w:val="21"/>
              </w:rPr>
              <w:t>0</w:t>
            </w:r>
          </w:p>
        </w:tc>
      </w:tr>
      <w:tr w14:paraId="1EDBC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451A0C7C">
            <w:pPr>
              <w:rPr>
                <w:rFonts w:ascii="黑体" w:hAnsi="黑体" w:eastAsia="黑体"/>
                <w:szCs w:val="21"/>
              </w:rPr>
            </w:pPr>
          </w:p>
        </w:tc>
        <w:tc>
          <w:tcPr>
            <w:tcW w:w="1566" w:type="dxa"/>
            <w:vMerge w:val="continue"/>
            <w:shd w:val="clear" w:color="auto" w:fill="auto"/>
            <w:tcMar>
              <w:left w:w="108" w:type="dxa"/>
              <w:right w:w="108" w:type="dxa"/>
            </w:tcMar>
            <w:vAlign w:val="center"/>
          </w:tcPr>
          <w:p w14:paraId="2C86689C">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00E5902">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3DB4C5A1">
            <w:pPr>
              <w:widowControl/>
              <w:spacing w:line="300" w:lineRule="exact"/>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1A7B9EF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5D19E9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1373BE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C525AA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FB786C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A515685">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66289AA4">
            <w:pPr>
              <w:widowControl/>
              <w:spacing w:line="240" w:lineRule="exact"/>
              <w:jc w:val="center"/>
              <w:rPr>
                <w:rFonts w:ascii="仿宋_GB2312" w:eastAsia="仿宋_GB2312"/>
                <w:szCs w:val="21"/>
              </w:rPr>
            </w:pPr>
            <w:r>
              <w:rPr>
                <w:rFonts w:hint="eastAsia" w:ascii="仿宋_GB2312" w:eastAsia="仿宋_GB2312"/>
                <w:szCs w:val="21"/>
              </w:rPr>
              <w:t>0</w:t>
            </w:r>
          </w:p>
        </w:tc>
      </w:tr>
      <w:tr w14:paraId="73489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346F934E">
            <w:pPr>
              <w:rPr>
                <w:rFonts w:ascii="黑体" w:hAnsi="黑体" w:eastAsia="黑体"/>
                <w:szCs w:val="21"/>
              </w:rPr>
            </w:pPr>
          </w:p>
        </w:tc>
        <w:tc>
          <w:tcPr>
            <w:tcW w:w="1566" w:type="dxa"/>
            <w:vMerge w:val="restart"/>
            <w:shd w:val="clear" w:color="auto" w:fill="auto"/>
            <w:tcMar>
              <w:left w:w="108" w:type="dxa"/>
              <w:right w:w="108" w:type="dxa"/>
            </w:tcMar>
            <w:vAlign w:val="center"/>
          </w:tcPr>
          <w:p w14:paraId="6ED90872">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17F9F237">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7A3FDC1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722C82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2AC5D2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84FA92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0A2F3C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9A7D18A">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57B735DD">
            <w:pPr>
              <w:widowControl/>
              <w:spacing w:line="240" w:lineRule="exact"/>
              <w:jc w:val="center"/>
              <w:rPr>
                <w:rFonts w:ascii="仿宋_GB2312" w:eastAsia="仿宋_GB2312"/>
                <w:szCs w:val="21"/>
              </w:rPr>
            </w:pPr>
            <w:r>
              <w:rPr>
                <w:rFonts w:hint="eastAsia" w:ascii="仿宋_GB2312" w:eastAsia="仿宋_GB2312"/>
                <w:szCs w:val="21"/>
              </w:rPr>
              <w:t>0</w:t>
            </w:r>
          </w:p>
        </w:tc>
      </w:tr>
      <w:tr w14:paraId="128B3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4DC83B9B">
            <w:pPr>
              <w:rPr>
                <w:rFonts w:ascii="黑体" w:hAnsi="黑体" w:eastAsia="黑体"/>
                <w:szCs w:val="21"/>
              </w:rPr>
            </w:pPr>
          </w:p>
        </w:tc>
        <w:tc>
          <w:tcPr>
            <w:tcW w:w="1566" w:type="dxa"/>
            <w:vMerge w:val="continue"/>
            <w:shd w:val="clear" w:color="auto" w:fill="auto"/>
            <w:tcMar>
              <w:left w:w="108" w:type="dxa"/>
              <w:right w:w="108" w:type="dxa"/>
            </w:tcMar>
            <w:vAlign w:val="center"/>
          </w:tcPr>
          <w:p w14:paraId="75706E6C">
            <w:pPr>
              <w:widowControl/>
              <w:spacing w:line="300" w:lineRule="exact"/>
              <w:rPr>
                <w:rFonts w:ascii="黑体" w:hAnsi="黑体" w:eastAsia="黑体"/>
                <w:kern w:val="0"/>
                <w:szCs w:val="21"/>
              </w:rPr>
            </w:pPr>
          </w:p>
        </w:tc>
        <w:tc>
          <w:tcPr>
            <w:tcW w:w="2973" w:type="dxa"/>
            <w:shd w:val="clear" w:color="auto" w:fill="auto"/>
            <w:vAlign w:val="center"/>
          </w:tcPr>
          <w:p w14:paraId="4F0A7F93">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6A0A51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73BCE1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F9E9FF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585859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23A2FFB">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546AF59">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27EAFCCA">
            <w:pPr>
              <w:widowControl/>
              <w:spacing w:line="240" w:lineRule="exact"/>
              <w:jc w:val="center"/>
              <w:rPr>
                <w:rFonts w:ascii="仿宋_GB2312" w:eastAsia="仿宋_GB2312"/>
                <w:szCs w:val="21"/>
              </w:rPr>
            </w:pPr>
            <w:r>
              <w:rPr>
                <w:rFonts w:hint="eastAsia" w:ascii="仿宋_GB2312" w:eastAsia="仿宋_GB2312"/>
                <w:szCs w:val="21"/>
              </w:rPr>
              <w:t>0</w:t>
            </w:r>
          </w:p>
        </w:tc>
      </w:tr>
      <w:tr w14:paraId="017AD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2ACF2688">
            <w:pPr>
              <w:rPr>
                <w:rFonts w:ascii="黑体" w:hAnsi="黑体" w:eastAsia="黑体"/>
                <w:szCs w:val="21"/>
              </w:rPr>
            </w:pPr>
          </w:p>
        </w:tc>
        <w:tc>
          <w:tcPr>
            <w:tcW w:w="1566" w:type="dxa"/>
            <w:vMerge w:val="continue"/>
            <w:shd w:val="clear" w:color="auto" w:fill="auto"/>
            <w:tcMar>
              <w:left w:w="108" w:type="dxa"/>
              <w:right w:w="108" w:type="dxa"/>
            </w:tcMar>
            <w:vAlign w:val="center"/>
          </w:tcPr>
          <w:p w14:paraId="1364B147">
            <w:pPr>
              <w:widowControl/>
              <w:spacing w:line="300" w:lineRule="exact"/>
              <w:rPr>
                <w:rFonts w:ascii="黑体" w:hAnsi="黑体" w:eastAsia="黑体"/>
                <w:kern w:val="0"/>
                <w:szCs w:val="21"/>
              </w:rPr>
            </w:pPr>
          </w:p>
        </w:tc>
        <w:tc>
          <w:tcPr>
            <w:tcW w:w="2973" w:type="dxa"/>
            <w:shd w:val="clear" w:color="auto" w:fill="auto"/>
            <w:vAlign w:val="center"/>
          </w:tcPr>
          <w:p w14:paraId="15EA4D1C">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5F883D4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F60B71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825C99F">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58A66E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128271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77416D7">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09222851">
            <w:pPr>
              <w:widowControl/>
              <w:spacing w:line="240" w:lineRule="exact"/>
              <w:jc w:val="center"/>
              <w:rPr>
                <w:rFonts w:ascii="仿宋_GB2312" w:eastAsia="仿宋_GB2312"/>
                <w:szCs w:val="21"/>
              </w:rPr>
            </w:pPr>
            <w:r>
              <w:rPr>
                <w:rFonts w:hint="eastAsia" w:ascii="仿宋_GB2312" w:eastAsia="仿宋_GB2312"/>
                <w:szCs w:val="21"/>
              </w:rPr>
              <w:t>0</w:t>
            </w:r>
          </w:p>
        </w:tc>
      </w:tr>
      <w:tr w14:paraId="33174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69" w:type="dxa"/>
            <w:vMerge w:val="continue"/>
            <w:shd w:val="clear" w:color="auto" w:fill="auto"/>
            <w:tcMar>
              <w:left w:w="108" w:type="dxa"/>
              <w:right w:w="108" w:type="dxa"/>
            </w:tcMar>
            <w:vAlign w:val="center"/>
          </w:tcPr>
          <w:p w14:paraId="70FAD440">
            <w:pPr>
              <w:rPr>
                <w:rFonts w:ascii="黑体" w:hAnsi="黑体" w:eastAsia="黑体"/>
                <w:szCs w:val="21"/>
              </w:rPr>
            </w:pPr>
          </w:p>
        </w:tc>
        <w:tc>
          <w:tcPr>
            <w:tcW w:w="4539" w:type="dxa"/>
            <w:gridSpan w:val="2"/>
            <w:shd w:val="clear" w:color="auto" w:fill="auto"/>
            <w:tcMar>
              <w:left w:w="108" w:type="dxa"/>
              <w:right w:w="108" w:type="dxa"/>
            </w:tcMar>
            <w:vAlign w:val="center"/>
          </w:tcPr>
          <w:p w14:paraId="51EE596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3DEB962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1A2A80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C9756D8">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C79652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D2CE7E4">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5A14C3A">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4B9C9253">
            <w:pPr>
              <w:widowControl/>
              <w:spacing w:line="240" w:lineRule="exact"/>
              <w:jc w:val="center"/>
              <w:rPr>
                <w:rFonts w:ascii="仿宋_GB2312" w:eastAsia="仿宋_GB2312"/>
                <w:szCs w:val="21"/>
              </w:rPr>
            </w:pPr>
            <w:r>
              <w:rPr>
                <w:rFonts w:hint="eastAsia" w:ascii="仿宋_GB2312" w:eastAsia="仿宋_GB2312"/>
                <w:szCs w:val="21"/>
              </w:rPr>
              <w:t>0</w:t>
            </w:r>
          </w:p>
        </w:tc>
      </w:tr>
      <w:tr w14:paraId="0D4B6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08" w:type="dxa"/>
            <w:gridSpan w:val="3"/>
            <w:shd w:val="clear" w:color="auto" w:fill="auto"/>
            <w:tcMar>
              <w:left w:w="108" w:type="dxa"/>
              <w:right w:w="108" w:type="dxa"/>
            </w:tcMar>
            <w:vAlign w:val="center"/>
          </w:tcPr>
          <w:p w14:paraId="43069357">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75B29E2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42D823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6713BA6">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853ECA9">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A59D4E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FD6CBB2">
            <w:pPr>
              <w:widowControl/>
              <w:spacing w:line="240" w:lineRule="exact"/>
              <w:jc w:val="center"/>
              <w:rPr>
                <w:rFonts w:ascii="仿宋_GB2312" w:eastAsia="仿宋_GB2312"/>
                <w:szCs w:val="21"/>
              </w:rPr>
            </w:pPr>
            <w:r>
              <w:rPr>
                <w:rFonts w:hint="eastAsia" w:ascii="仿宋_GB2312" w:eastAsia="仿宋_GB2312"/>
                <w:szCs w:val="21"/>
              </w:rPr>
              <w:t>0</w:t>
            </w:r>
          </w:p>
        </w:tc>
        <w:tc>
          <w:tcPr>
            <w:tcW w:w="408" w:type="dxa"/>
            <w:shd w:val="clear" w:color="auto" w:fill="auto"/>
            <w:tcMar>
              <w:left w:w="108" w:type="dxa"/>
              <w:right w:w="108" w:type="dxa"/>
            </w:tcMar>
            <w:vAlign w:val="center"/>
          </w:tcPr>
          <w:p w14:paraId="3532FBF2">
            <w:pPr>
              <w:widowControl/>
              <w:spacing w:line="240" w:lineRule="exact"/>
              <w:jc w:val="center"/>
              <w:rPr>
                <w:rFonts w:ascii="仿宋_GB2312" w:eastAsia="仿宋_GB2312"/>
                <w:szCs w:val="21"/>
              </w:rPr>
            </w:pPr>
            <w:r>
              <w:rPr>
                <w:rFonts w:hint="eastAsia" w:ascii="仿宋_GB2312" w:eastAsia="仿宋_GB2312"/>
                <w:szCs w:val="21"/>
              </w:rPr>
              <w:t>0</w:t>
            </w:r>
          </w:p>
        </w:tc>
      </w:tr>
    </w:tbl>
    <w:p w14:paraId="38B7AABE">
      <w:pPr>
        <w:ind w:firstLine="618" w:firstLineChars="200"/>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FC1E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E5EDE0">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F4B21F">
            <w:pPr>
              <w:widowControl/>
              <w:jc w:val="center"/>
              <w:rPr>
                <w:rFonts w:ascii="黑体" w:hAnsi="黑体" w:eastAsia="黑体"/>
              </w:rPr>
            </w:pPr>
            <w:r>
              <w:rPr>
                <w:rFonts w:ascii="黑体" w:hAnsi="黑体" w:eastAsia="黑体"/>
                <w:kern w:val="0"/>
                <w:sz w:val="20"/>
              </w:rPr>
              <w:t>行政诉讼</w:t>
            </w:r>
          </w:p>
        </w:tc>
      </w:tr>
      <w:tr w14:paraId="32B4F6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C940D7">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242A7E1D">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BF8757B">
            <w:pPr>
              <w:widowControl/>
              <w:ind w:left="-41" w:leftChars="-21" w:right="-125" w:rightChars="-63"/>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7F23A0">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5FA0E6">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7B0C78B8">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CEDC95">
            <w:pPr>
              <w:widowControl/>
              <w:spacing w:line="320" w:lineRule="exact"/>
              <w:jc w:val="center"/>
              <w:rPr>
                <w:rFonts w:ascii="黑体" w:hAnsi="黑体" w:eastAsia="黑体"/>
                <w:kern w:val="0"/>
                <w:sz w:val="20"/>
              </w:rPr>
            </w:pPr>
            <w:r>
              <w:rPr>
                <w:rFonts w:ascii="黑体" w:hAnsi="黑体" w:eastAsia="黑体"/>
                <w:kern w:val="0"/>
                <w:sz w:val="20"/>
              </w:rPr>
              <w:t>总</w:t>
            </w:r>
          </w:p>
          <w:p w14:paraId="75160211">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3859C9">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F36994">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388FF6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08612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611D12C">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A47B2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2D4CD5">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2B85C1">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5C7E0DA">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9151140">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649E84">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5A8DB873">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A593C9">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7A3D8739">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6AF76FC">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9A94CA">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83E475">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3B45C344">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B5952C">
            <w:pPr>
              <w:widowControl/>
              <w:ind w:left="-165" w:leftChars="-83" w:right="-127" w:rightChars="-64"/>
              <w:jc w:val="center"/>
              <w:rPr>
                <w:rFonts w:ascii="黑体" w:hAnsi="黑体" w:eastAsia="黑体"/>
                <w:kern w:val="0"/>
                <w:sz w:val="20"/>
              </w:rPr>
            </w:pPr>
            <w:r>
              <w:rPr>
                <w:rFonts w:ascii="黑体" w:hAnsi="黑体" w:eastAsia="黑体"/>
                <w:kern w:val="0"/>
                <w:sz w:val="20"/>
              </w:rPr>
              <w:t>其他</w:t>
            </w:r>
          </w:p>
          <w:p w14:paraId="2ECF8B41">
            <w:pPr>
              <w:widowControl/>
              <w:ind w:left="-165" w:leftChars="-83" w:right="-127" w:rightChars="-64"/>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4432C1">
            <w:pPr>
              <w:widowControl/>
              <w:ind w:left="-65" w:leftChars="-33" w:right="-99" w:rightChars="-50"/>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998F02">
            <w:pPr>
              <w:widowControl/>
              <w:jc w:val="center"/>
              <w:rPr>
                <w:rFonts w:ascii="黑体" w:hAnsi="黑体" w:eastAsia="黑体"/>
              </w:rPr>
            </w:pPr>
            <w:r>
              <w:rPr>
                <w:rFonts w:ascii="黑体" w:hAnsi="黑体" w:eastAsia="黑体"/>
                <w:kern w:val="0"/>
                <w:sz w:val="20"/>
              </w:rPr>
              <w:t>总计</w:t>
            </w:r>
          </w:p>
        </w:tc>
      </w:tr>
      <w:tr w14:paraId="2E385A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F61B13">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A0BB9FC">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13BC0779">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09764DF">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27E3413">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1F12B4B">
            <w:pPr>
              <w:widowControl/>
              <w:spacing w:after="180"/>
              <w:jc w:val="center"/>
              <w:rPr>
                <w:rFonts w:hint="eastAsia" w:eastAsia="宋体"/>
                <w:lang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78003F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274AEE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473FA21">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B07984">
            <w:pPr>
              <w:widowControl/>
              <w:spacing w:after="180"/>
              <w:jc w:val="center"/>
              <w:rPr>
                <w:rFonts w:hint="eastAsia" w:eastAsia="宋体"/>
                <w:lang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A0F334A">
            <w:pPr>
              <w:widowControl/>
              <w:spacing w:after="180"/>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676650">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E09DC1A">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E7605F3">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53B0B4E">
            <w:pPr>
              <w:widowControl/>
              <w:spacing w:after="180"/>
              <w:jc w:val="center"/>
            </w:pPr>
            <w:r>
              <w:rPr>
                <w:rFonts w:hint="eastAsia"/>
              </w:rPr>
              <w:t>0</w:t>
            </w:r>
          </w:p>
        </w:tc>
      </w:tr>
    </w:tbl>
    <w:p w14:paraId="62E003D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17"/>
        <w:jc w:val="both"/>
        <w:textAlignment w:val="auto"/>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14:paraId="588B13E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17"/>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lang w:eastAsia="zh-CN"/>
        </w:rPr>
        <w:t>2024</w:t>
      </w:r>
      <w:r>
        <w:rPr>
          <w:rFonts w:hint="eastAsia" w:ascii="仿宋_GB2312" w:hAnsi="仿宋_GB2312" w:eastAsia="仿宋_GB2312" w:cs="仿宋_GB2312"/>
          <w:color w:val="auto"/>
          <w:kern w:val="2"/>
          <w:sz w:val="32"/>
          <w:szCs w:val="32"/>
          <w:shd w:val="clear" w:color="auto" w:fill="FFFFFF"/>
        </w:rPr>
        <w:t>年</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我局政府信息公开工作平稳运行，政府信息公开取得一定成效，但距上级要求和群众期待还存在短板和不足，主要表现在：政府信息公开的形式有待创新；微信公众号与人民群众互动交流不足。</w:t>
      </w:r>
    </w:p>
    <w:p w14:paraId="52DE45D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17"/>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下一步我局将认真做好以下几方面工作：一是加强人才队伍建设，组织专业培训，</w:t>
      </w:r>
      <w:r>
        <w:rPr>
          <w:rFonts w:hint="eastAsia" w:ascii="仿宋_GB2312" w:hAnsi="仿宋_GB2312" w:eastAsia="仿宋_GB2312" w:cs="仿宋_GB2312"/>
          <w:color w:val="auto"/>
          <w:kern w:val="2"/>
          <w:sz w:val="32"/>
          <w:szCs w:val="32"/>
          <w:shd w:val="clear" w:color="auto" w:fill="FFFFFF"/>
          <w:lang w:val="en-US" w:eastAsia="zh-CN"/>
        </w:rPr>
        <w:t>不断提升政府信息公开</w:t>
      </w:r>
      <w:r>
        <w:rPr>
          <w:rFonts w:hint="eastAsia" w:ascii="仿宋_GB2312" w:hAnsi="仿宋_GB2312" w:eastAsia="仿宋_GB2312" w:cs="仿宋_GB2312"/>
          <w:color w:val="auto"/>
          <w:kern w:val="2"/>
          <w:sz w:val="32"/>
          <w:szCs w:val="32"/>
          <w:shd w:val="clear" w:color="auto" w:fill="FFFFFF"/>
        </w:rPr>
        <w:t>业务</w:t>
      </w:r>
      <w:r>
        <w:rPr>
          <w:rFonts w:hint="eastAsia" w:ascii="仿宋_GB2312" w:hAnsi="仿宋_GB2312" w:eastAsia="仿宋_GB2312" w:cs="仿宋_GB2312"/>
          <w:color w:val="auto"/>
          <w:kern w:val="2"/>
          <w:sz w:val="32"/>
          <w:szCs w:val="32"/>
          <w:shd w:val="clear" w:color="auto" w:fill="FFFFFF"/>
          <w:lang w:val="en-US" w:eastAsia="zh-CN"/>
        </w:rPr>
        <w:t>水平</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二是加强新媒体管理，丰富宣传方式，提升新媒体运用与数据处理能力。</w:t>
      </w:r>
    </w:p>
    <w:p w14:paraId="51F77BF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17"/>
        <w:jc w:val="both"/>
        <w:textAlignment w:val="auto"/>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14:paraId="1AE6AC99">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仿宋_GB2312" w:eastAsia="楷体_GB2312" w:cs="仿宋_GB2312"/>
          <w:color w:val="000000"/>
          <w:sz w:val="32"/>
          <w:szCs w:val="32"/>
          <w:shd w:val="clear" w:color="auto" w:fill="FFFFFF"/>
        </w:rPr>
        <w:t>（一）收取信息处理费情况方面。</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年，台儿庄区司法局不存在因信息处理收取相关费用的情况。</w:t>
      </w:r>
    </w:p>
    <w:p w14:paraId="349A4DE0">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仿宋_GB2312" w:eastAsia="楷体_GB2312" w:cs="仿宋_GB2312"/>
          <w:color w:val="000000"/>
          <w:sz w:val="32"/>
          <w:szCs w:val="32"/>
          <w:shd w:val="clear" w:color="auto" w:fill="FFFFFF"/>
        </w:rPr>
        <w:t>（二）落实上级年度政务公开工作要点情况。</w:t>
      </w:r>
      <w:r>
        <w:rPr>
          <w:rFonts w:hint="eastAsia" w:ascii="仿宋_GB2312" w:hAnsi="仿宋_GB2312" w:eastAsia="仿宋_GB2312" w:cs="仿宋_GB2312"/>
          <w:color w:val="auto"/>
          <w:sz w:val="32"/>
          <w:szCs w:val="32"/>
          <w:shd w:val="clear" w:color="auto" w:fill="FFFFFF"/>
          <w:lang w:val="en-US" w:eastAsia="zh-CN"/>
        </w:rPr>
        <w:t>局机关成立信息公开领导小组，明确任务分工</w:t>
      </w:r>
      <w:r>
        <w:rPr>
          <w:rFonts w:hint="eastAsia" w:ascii="仿宋_GB2312" w:hAnsi="仿宋_GB2312" w:eastAsia="仿宋_GB2312" w:cs="仿宋_GB2312"/>
          <w:color w:val="auto"/>
          <w:sz w:val="32"/>
          <w:szCs w:val="32"/>
          <w:shd w:val="clear" w:color="auto" w:fill="FFFFFF"/>
        </w:rPr>
        <w:t>，科学制定工作要点，有序推进</w:t>
      </w:r>
      <w:r>
        <w:rPr>
          <w:rFonts w:hint="eastAsia" w:ascii="仿宋_GB2312" w:hAnsi="仿宋_GB2312" w:eastAsia="仿宋_GB2312" w:cs="仿宋_GB2312"/>
          <w:color w:val="auto"/>
          <w:sz w:val="32"/>
          <w:szCs w:val="32"/>
          <w:shd w:val="clear" w:color="auto" w:fill="FFFFFF"/>
          <w:lang w:val="en-US" w:eastAsia="zh-CN"/>
        </w:rPr>
        <w:t>政府信息</w:t>
      </w:r>
      <w:r>
        <w:rPr>
          <w:rFonts w:hint="eastAsia" w:ascii="仿宋_GB2312" w:hAnsi="仿宋_GB2312" w:eastAsia="仿宋_GB2312" w:cs="仿宋_GB2312"/>
          <w:color w:val="auto"/>
          <w:sz w:val="32"/>
          <w:szCs w:val="32"/>
          <w:shd w:val="clear" w:color="auto" w:fill="FFFFFF"/>
        </w:rPr>
        <w:t>公开工作。</w:t>
      </w:r>
    </w:p>
    <w:p w14:paraId="5776C699">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楷体_GB2312" w:hAnsi="仿宋_GB2312" w:eastAsia="楷体_GB2312" w:cs="仿宋_GB2312"/>
          <w:color w:val="000000"/>
          <w:sz w:val="32"/>
          <w:szCs w:val="32"/>
          <w:shd w:val="clear" w:color="auto" w:fill="FFFFFF"/>
        </w:rPr>
        <w:t>（三）人大代表建议和政协提案办理</w:t>
      </w:r>
      <w:r>
        <w:rPr>
          <w:rFonts w:hint="eastAsia" w:ascii="楷体_GB2312" w:hAnsi="仿宋_GB2312" w:eastAsia="楷体_GB2312" w:cs="仿宋_GB2312"/>
          <w:color w:val="000000"/>
          <w:sz w:val="32"/>
          <w:szCs w:val="32"/>
          <w:shd w:val="clear" w:color="auto" w:fill="FFFFFF"/>
          <w:lang w:val="en-US" w:eastAsia="zh-CN"/>
        </w:rPr>
        <w:t>结果公开</w:t>
      </w:r>
      <w:r>
        <w:rPr>
          <w:rFonts w:hint="eastAsia" w:ascii="楷体_GB2312" w:hAnsi="仿宋_GB2312" w:eastAsia="楷体_GB2312" w:cs="仿宋_GB2312"/>
          <w:color w:val="000000"/>
          <w:sz w:val="32"/>
          <w:szCs w:val="32"/>
          <w:shd w:val="clear" w:color="auto" w:fill="FFFFFF"/>
        </w:rPr>
        <w:t>情况。</w:t>
      </w:r>
      <w:r>
        <w:rPr>
          <w:rFonts w:hint="eastAsia" w:ascii="仿宋_GB2312" w:hAnsi="仿宋_GB2312" w:eastAsia="仿宋_GB2312" w:cs="仿宋_GB2312"/>
          <w:color w:val="auto"/>
          <w:sz w:val="32"/>
          <w:szCs w:val="32"/>
          <w:shd w:val="clear" w:color="auto" w:fill="FFFFFF"/>
          <w:lang w:eastAsia="zh-CN"/>
        </w:rPr>
        <w:t>2024</w:t>
      </w:r>
      <w:r>
        <w:rPr>
          <w:rFonts w:hint="eastAsia" w:ascii="仿宋_GB2312" w:hAnsi="仿宋_GB2312" w:eastAsia="仿宋_GB2312" w:cs="仿宋_GB2312"/>
          <w:color w:val="auto"/>
          <w:sz w:val="32"/>
          <w:szCs w:val="32"/>
          <w:shd w:val="clear" w:color="auto" w:fill="FFFFFF"/>
        </w:rPr>
        <w:t>年，台儿庄区司法局承办人大代表建议</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件，政协提案</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人大代表建议和政协提案办理</w:t>
      </w:r>
      <w:r>
        <w:rPr>
          <w:rFonts w:hint="eastAsia" w:ascii="仿宋_GB2312" w:hAnsi="仿宋_GB2312" w:eastAsia="仿宋_GB2312" w:cs="仿宋_GB2312"/>
          <w:color w:val="auto"/>
          <w:sz w:val="32"/>
          <w:szCs w:val="32"/>
          <w:shd w:val="clear" w:color="auto" w:fill="FFFFFF"/>
          <w:lang w:val="en-US" w:eastAsia="zh-CN"/>
        </w:rPr>
        <w:t>结果在区政府门户网站建议提案专栏公开3件。</w:t>
      </w:r>
    </w:p>
    <w:p w14:paraId="70E84A1C">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仿宋_GB2312" w:eastAsia="楷体_GB2312" w:cs="仿宋_GB2312"/>
          <w:color w:val="000000"/>
          <w:sz w:val="32"/>
          <w:szCs w:val="32"/>
          <w:shd w:val="clear" w:color="auto" w:fill="FFFFFF"/>
        </w:rPr>
        <w:t>（四）政务公开工作创新情况。</w:t>
      </w:r>
      <w:r>
        <w:rPr>
          <w:rFonts w:hint="eastAsia" w:ascii="仿宋_GB2312" w:hAnsi="仿宋_GB2312" w:eastAsia="仿宋_GB2312" w:cs="仿宋_GB2312"/>
          <w:color w:val="000000"/>
          <w:sz w:val="32"/>
          <w:szCs w:val="32"/>
          <w:shd w:val="clear" w:color="auto" w:fill="FFFFFF"/>
          <w:lang w:val="en-US" w:eastAsia="zh-CN"/>
        </w:rPr>
        <w:t>无</w:t>
      </w:r>
    </w:p>
    <w:p w14:paraId="5312E78F">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楷体_GB2312" w:hAnsi="仿宋_GB2312" w:eastAsia="楷体_GB2312" w:cs="仿宋_GB2312"/>
          <w:color w:val="000000"/>
          <w:sz w:val="32"/>
          <w:szCs w:val="32"/>
          <w:shd w:val="clear" w:color="auto" w:fill="FFFFFF"/>
        </w:rPr>
        <w:t>（五）本行政机关政府信息公开工作年度报告数据统计需要说明的事项。</w:t>
      </w:r>
      <w:r>
        <w:rPr>
          <w:rFonts w:hint="eastAsia" w:ascii="仿宋_GB2312" w:hAnsi="仿宋_GB2312" w:eastAsia="仿宋_GB2312" w:cs="仿宋_GB2312"/>
          <w:color w:val="auto"/>
          <w:sz w:val="32"/>
          <w:szCs w:val="32"/>
          <w:highlight w:val="none"/>
          <w:shd w:val="clear" w:color="auto" w:fill="FFFFFF"/>
        </w:rPr>
        <w:t>本报告中所列数据的统计期限为</w:t>
      </w:r>
      <w:r>
        <w:rPr>
          <w:rFonts w:hint="eastAsia" w:ascii="仿宋_GB2312" w:hAnsi="仿宋_GB2312" w:eastAsia="仿宋_GB2312" w:cs="仿宋_GB2312"/>
          <w:color w:val="auto"/>
          <w:sz w:val="32"/>
          <w:szCs w:val="32"/>
          <w:highlight w:val="none"/>
          <w:shd w:val="clear" w:color="auto" w:fill="FFFFFF"/>
          <w:lang w:eastAsia="zh-CN"/>
        </w:rPr>
        <w:t>2024</w:t>
      </w:r>
      <w:r>
        <w:rPr>
          <w:rFonts w:hint="eastAsia" w:ascii="仿宋_GB2312" w:hAnsi="仿宋_GB2312" w:eastAsia="仿宋_GB2312" w:cs="仿宋_GB2312"/>
          <w:color w:val="auto"/>
          <w:sz w:val="32"/>
          <w:szCs w:val="32"/>
          <w:highlight w:val="none"/>
          <w:shd w:val="clear" w:color="auto" w:fill="FFFFFF"/>
        </w:rPr>
        <w:t>年1月1日至</w:t>
      </w:r>
      <w:r>
        <w:rPr>
          <w:rFonts w:hint="eastAsia" w:ascii="仿宋_GB2312" w:hAnsi="仿宋_GB2312" w:eastAsia="仿宋_GB2312" w:cs="仿宋_GB2312"/>
          <w:color w:val="auto"/>
          <w:sz w:val="32"/>
          <w:szCs w:val="32"/>
          <w:highlight w:val="none"/>
          <w:shd w:val="clear" w:color="auto" w:fill="FFFFFF"/>
          <w:lang w:eastAsia="zh-CN"/>
        </w:rPr>
        <w:t>2024</w:t>
      </w:r>
      <w:r>
        <w:rPr>
          <w:rFonts w:hint="eastAsia" w:ascii="仿宋_GB2312" w:hAnsi="仿宋_GB2312" w:eastAsia="仿宋_GB2312" w:cs="仿宋_GB2312"/>
          <w:color w:val="auto"/>
          <w:sz w:val="32"/>
          <w:szCs w:val="32"/>
          <w:highlight w:val="none"/>
          <w:shd w:val="clear" w:color="auto" w:fill="FFFFFF"/>
        </w:rPr>
        <w:t>年12月31日。</w:t>
      </w:r>
    </w:p>
    <w:p w14:paraId="0727B318">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楷体_GB2312" w:hAnsi="仿宋_GB2312" w:eastAsia="楷体_GB2312" w:cs="仿宋_GB2312"/>
          <w:color w:val="000000"/>
          <w:sz w:val="32"/>
          <w:szCs w:val="32"/>
          <w:highlight w:val="none"/>
          <w:shd w:val="clear" w:color="auto" w:fill="FFFFFF"/>
        </w:rPr>
      </w:pPr>
      <w:r>
        <w:rPr>
          <w:rFonts w:hint="eastAsia" w:ascii="楷体_GB2312" w:hAnsi="仿宋_GB2312" w:eastAsia="楷体_GB2312" w:cs="仿宋_GB2312"/>
          <w:color w:val="000000"/>
          <w:sz w:val="32"/>
          <w:szCs w:val="32"/>
          <w:highlight w:val="none"/>
          <w:shd w:val="clear" w:color="auto" w:fill="FFFFFF"/>
        </w:rPr>
        <w:t>（六）本行政机关认为需要报告的其他事项：</w:t>
      </w:r>
      <w:r>
        <w:rPr>
          <w:rFonts w:hint="eastAsia" w:ascii="仿宋_GB2312" w:hAnsi="仿宋_GB2312" w:eastAsia="仿宋_GB2312" w:cs="仿宋_GB2312"/>
          <w:color w:val="000000"/>
          <w:sz w:val="32"/>
          <w:szCs w:val="32"/>
          <w:highlight w:val="none"/>
          <w:shd w:val="clear" w:color="auto" w:fill="FFFFFF"/>
        </w:rPr>
        <w:t>无。</w:t>
      </w:r>
    </w:p>
    <w:p w14:paraId="6963A836">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仿宋_GB2312" w:hAnsi="仿宋_GB2312" w:eastAsia="仿宋_GB2312" w:cs="仿宋_GB2312"/>
          <w:color w:val="000000"/>
          <w:sz w:val="32"/>
          <w:szCs w:val="32"/>
          <w:shd w:val="clear" w:color="auto" w:fill="FFFFFF"/>
        </w:rPr>
      </w:pPr>
      <w:r>
        <w:rPr>
          <w:rFonts w:hint="eastAsia" w:ascii="楷体_GB2312" w:hAnsi="仿宋_GB2312" w:eastAsia="楷体_GB2312" w:cs="仿宋_GB2312"/>
          <w:color w:val="000000"/>
          <w:sz w:val="32"/>
          <w:szCs w:val="32"/>
          <w:highlight w:val="none"/>
          <w:shd w:val="clear" w:color="auto" w:fill="FFFFFF"/>
        </w:rPr>
        <w:t>（七）其他有关文件</w:t>
      </w:r>
      <w:r>
        <w:rPr>
          <w:rFonts w:hint="eastAsia" w:ascii="楷体_GB2312" w:hAnsi="仿宋_GB2312" w:eastAsia="楷体_GB2312" w:cs="仿宋_GB2312"/>
          <w:color w:val="000000"/>
          <w:sz w:val="32"/>
          <w:szCs w:val="32"/>
          <w:shd w:val="clear" w:color="auto" w:fill="FFFFFF"/>
        </w:rPr>
        <w:t>专门要求通过政府信息公开工作年度报告予以报告的事项：</w:t>
      </w:r>
      <w:r>
        <w:rPr>
          <w:rFonts w:hint="eastAsia" w:ascii="仿宋_GB2312" w:hAnsi="仿宋_GB2312" w:eastAsia="仿宋_GB2312" w:cs="仿宋_GB2312"/>
          <w:color w:val="000000"/>
          <w:sz w:val="32"/>
          <w:szCs w:val="32"/>
          <w:shd w:val="clear" w:color="auto" w:fill="FFFFFF"/>
        </w:rPr>
        <w:t>无。</w:t>
      </w:r>
    </w:p>
    <w:p w14:paraId="494498A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17"/>
        <w:jc w:val="both"/>
        <w:textAlignment w:val="auto"/>
        <w:rPr>
          <w:rFonts w:ascii="仿宋_GB2312" w:hAnsi="仿宋_GB2312" w:eastAsia="仿宋_GB2312" w:cs="仿宋_GB2312"/>
          <w:color w:val="000000"/>
          <w:kern w:val="2"/>
          <w:sz w:val="32"/>
          <w:szCs w:val="32"/>
          <w:shd w:val="clear" w:color="auto" w:fill="FFFFFF"/>
        </w:rPr>
      </w:pPr>
    </w:p>
    <w:p w14:paraId="3A097741">
      <w:pPr>
        <w:pStyle w:val="8"/>
        <w:shd w:val="clear" w:color="auto" w:fill="FFFFFF"/>
        <w:spacing w:before="0" w:beforeAutospacing="0" w:after="0" w:afterAutospacing="0" w:line="560" w:lineRule="exact"/>
        <w:ind w:firstLine="617"/>
        <w:jc w:val="right"/>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枣庄市台儿庄区司法局</w:t>
      </w:r>
    </w:p>
    <w:p w14:paraId="5C067797">
      <w:pPr>
        <w:pStyle w:val="8"/>
        <w:shd w:val="clear" w:color="auto" w:fill="FFFFFF"/>
        <w:spacing w:before="0" w:beforeAutospacing="0" w:after="0" w:afterAutospacing="0" w:line="560" w:lineRule="exact"/>
        <w:ind w:firstLine="617"/>
        <w:jc w:val="right"/>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202</w:t>
      </w:r>
      <w:r>
        <w:rPr>
          <w:rFonts w:hint="eastAsia" w:ascii="仿宋_GB2312" w:hAnsi="仿宋_GB2312" w:eastAsia="仿宋_GB2312" w:cs="仿宋_GB2312"/>
          <w:color w:val="000000"/>
          <w:kern w:val="2"/>
          <w:sz w:val="32"/>
          <w:szCs w:val="32"/>
          <w:shd w:val="clear" w:color="auto" w:fill="FFFFFF"/>
          <w:lang w:val="en-US" w:eastAsia="zh-CN"/>
        </w:rPr>
        <w:t>5</w:t>
      </w:r>
      <w:r>
        <w:rPr>
          <w:rFonts w:hint="eastAsia" w:ascii="仿宋_GB2312" w:hAnsi="仿宋_GB2312" w:eastAsia="仿宋_GB2312" w:cs="仿宋_GB2312"/>
          <w:color w:val="000000"/>
          <w:kern w:val="2"/>
          <w:sz w:val="32"/>
          <w:szCs w:val="32"/>
          <w:shd w:val="clear" w:color="auto" w:fill="FFFFFF"/>
        </w:rPr>
        <w:t>年1月</w:t>
      </w:r>
      <w:r>
        <w:rPr>
          <w:rFonts w:hint="eastAsia" w:ascii="仿宋_GB2312" w:hAnsi="仿宋_GB2312" w:eastAsia="仿宋_GB2312" w:cs="仿宋_GB2312"/>
          <w:color w:val="000000"/>
          <w:kern w:val="2"/>
          <w:sz w:val="32"/>
          <w:szCs w:val="32"/>
          <w:shd w:val="clear" w:color="auto" w:fill="FFFFFF"/>
          <w:lang w:val="en-US" w:eastAsia="zh-CN"/>
        </w:rPr>
        <w:t>23</w:t>
      </w:r>
      <w:r>
        <w:rPr>
          <w:rFonts w:hint="eastAsia" w:ascii="仿宋_GB2312" w:hAnsi="仿宋_GB2312" w:eastAsia="仿宋_GB2312" w:cs="仿宋_GB2312"/>
          <w:color w:val="000000"/>
          <w:kern w:val="2"/>
          <w:sz w:val="32"/>
          <w:szCs w:val="32"/>
          <w:shd w:val="clear" w:color="auto" w:fill="FFFFFF"/>
        </w:rPr>
        <w:t>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2633">
    <w:pPr>
      <w:pStyle w:val="5"/>
      <w:framePr w:wrap="around" w:vAnchor="text" w:hAnchor="margin" w:xAlign="outside" w:y="1"/>
      <w:ind w:firstLine="560"/>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１</w:t>
    </w:r>
    <w:r>
      <w:rPr>
        <w:rStyle w:val="14"/>
        <w:rFonts w:ascii="宋体" w:hAnsi="宋体"/>
        <w:sz w:val="28"/>
        <w:szCs w:val="28"/>
      </w:rPr>
      <w:fldChar w:fldCharType="end"/>
    </w:r>
    <w:r>
      <w:rPr>
        <w:rStyle w:val="14"/>
        <w:rFonts w:hint="eastAsia" w:ascii="宋体" w:hAnsi="宋体"/>
        <w:sz w:val="28"/>
        <w:szCs w:val="28"/>
      </w:rPr>
      <w:t>—</w:t>
    </w:r>
  </w:p>
  <w:p w14:paraId="3E2612FF">
    <w:pPr>
      <w:ind w:firstLine="560"/>
      <w:rPr>
        <w:rFonts w:ascii="宋体" w:hAnsi="宋体"/>
        <w:sz w:val="28"/>
        <w:szCs w:val="28"/>
      </w:rPr>
    </w:pPr>
  </w:p>
  <w:p w14:paraId="6382294E">
    <w:pPr>
      <w:ind w:firstLine="640"/>
    </w:pPr>
  </w:p>
  <w:p w14:paraId="18CB591B">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0520">
    <w:pPr>
      <w:pStyle w:val="5"/>
      <w:framePr w:wrap="around" w:vAnchor="text" w:hAnchor="margin" w:xAlign="outside" w:y="1"/>
      <w:ind w:firstLine="560"/>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２</w:t>
    </w:r>
    <w:r>
      <w:rPr>
        <w:rStyle w:val="14"/>
        <w:rFonts w:ascii="宋体" w:hAnsi="宋体"/>
        <w:sz w:val="28"/>
        <w:szCs w:val="28"/>
      </w:rPr>
      <w:fldChar w:fldCharType="end"/>
    </w:r>
    <w:r>
      <w:rPr>
        <w:rStyle w:val="14"/>
        <w:rFonts w:hint="eastAsia" w:ascii="宋体" w:hAnsi="宋体"/>
        <w:sz w:val="28"/>
        <w:szCs w:val="28"/>
      </w:rPr>
      <w:t>—</w:t>
    </w:r>
  </w:p>
  <w:p w14:paraId="362DDDB1">
    <w:pPr>
      <w:ind w:firstLine="640"/>
      <w:rPr>
        <w:rFonts w:hint="eastAsia"/>
      </w:rPr>
    </w:pPr>
  </w:p>
  <w:p w14:paraId="5AC5B8F6">
    <w:pPr>
      <w:ind w:firstLine="640"/>
    </w:pPr>
  </w:p>
  <w:p w14:paraId="02801340">
    <w:pPr>
      <w:ind w:firstLine="6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D728E"/>
    <w:multiLevelType w:val="singleLevel"/>
    <w:tmpl w:val="5B3D72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ZTVlYzk0OGVlY2ZhNWZmZWNjYWMyZDdjOWU2MmIifQ=="/>
  </w:docVars>
  <w:rsids>
    <w:rsidRoot w:val="34EC3754"/>
    <w:rsid w:val="00007884"/>
    <w:rsid w:val="00010E5E"/>
    <w:rsid w:val="00011885"/>
    <w:rsid w:val="000149C9"/>
    <w:rsid w:val="0003383F"/>
    <w:rsid w:val="00064D97"/>
    <w:rsid w:val="00070B65"/>
    <w:rsid w:val="00072FAA"/>
    <w:rsid w:val="00085421"/>
    <w:rsid w:val="00086B07"/>
    <w:rsid w:val="000A3589"/>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33A82"/>
    <w:rsid w:val="00234842"/>
    <w:rsid w:val="00240D6B"/>
    <w:rsid w:val="002638AA"/>
    <w:rsid w:val="00264EC1"/>
    <w:rsid w:val="0026778D"/>
    <w:rsid w:val="00283F9A"/>
    <w:rsid w:val="00297859"/>
    <w:rsid w:val="002B359A"/>
    <w:rsid w:val="002C1314"/>
    <w:rsid w:val="002D2EAC"/>
    <w:rsid w:val="003037BF"/>
    <w:rsid w:val="003253BB"/>
    <w:rsid w:val="00335B30"/>
    <w:rsid w:val="00340F1F"/>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D0B68"/>
    <w:rsid w:val="004D0E98"/>
    <w:rsid w:val="004E4913"/>
    <w:rsid w:val="004F1C10"/>
    <w:rsid w:val="004F3C24"/>
    <w:rsid w:val="00525F70"/>
    <w:rsid w:val="00563169"/>
    <w:rsid w:val="005951B9"/>
    <w:rsid w:val="00596887"/>
    <w:rsid w:val="0059783E"/>
    <w:rsid w:val="00615B8E"/>
    <w:rsid w:val="00615FC5"/>
    <w:rsid w:val="0063273E"/>
    <w:rsid w:val="00633E28"/>
    <w:rsid w:val="006341BC"/>
    <w:rsid w:val="00650565"/>
    <w:rsid w:val="006866C2"/>
    <w:rsid w:val="006A6E86"/>
    <w:rsid w:val="006B490A"/>
    <w:rsid w:val="006D08A9"/>
    <w:rsid w:val="006D68B0"/>
    <w:rsid w:val="006E144F"/>
    <w:rsid w:val="00721F90"/>
    <w:rsid w:val="00737B29"/>
    <w:rsid w:val="00757C12"/>
    <w:rsid w:val="00771949"/>
    <w:rsid w:val="00773B23"/>
    <w:rsid w:val="00783695"/>
    <w:rsid w:val="00785F9B"/>
    <w:rsid w:val="0078671D"/>
    <w:rsid w:val="007946AA"/>
    <w:rsid w:val="007A1B05"/>
    <w:rsid w:val="007B6EA8"/>
    <w:rsid w:val="007D2680"/>
    <w:rsid w:val="007D6FD0"/>
    <w:rsid w:val="007F178A"/>
    <w:rsid w:val="007F7760"/>
    <w:rsid w:val="00823E63"/>
    <w:rsid w:val="00833F75"/>
    <w:rsid w:val="00836E77"/>
    <w:rsid w:val="00846BB9"/>
    <w:rsid w:val="008525E5"/>
    <w:rsid w:val="0087659F"/>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24B37"/>
    <w:rsid w:val="00C738DE"/>
    <w:rsid w:val="00C91F5D"/>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570FC"/>
    <w:rsid w:val="00DA126F"/>
    <w:rsid w:val="00DB7F54"/>
    <w:rsid w:val="00DC068A"/>
    <w:rsid w:val="00DC36D6"/>
    <w:rsid w:val="00DC4CA2"/>
    <w:rsid w:val="00DE5830"/>
    <w:rsid w:val="00E07C8E"/>
    <w:rsid w:val="00E1390A"/>
    <w:rsid w:val="00E15B1D"/>
    <w:rsid w:val="00E3414E"/>
    <w:rsid w:val="00E7122D"/>
    <w:rsid w:val="00E7157F"/>
    <w:rsid w:val="00E832B1"/>
    <w:rsid w:val="00E84F6C"/>
    <w:rsid w:val="00E8688E"/>
    <w:rsid w:val="00E86EF9"/>
    <w:rsid w:val="00EC4A06"/>
    <w:rsid w:val="00ED6C68"/>
    <w:rsid w:val="00EE04D0"/>
    <w:rsid w:val="00EF09DD"/>
    <w:rsid w:val="00F10172"/>
    <w:rsid w:val="00F15D23"/>
    <w:rsid w:val="00F17EBD"/>
    <w:rsid w:val="00F3164F"/>
    <w:rsid w:val="00F376A4"/>
    <w:rsid w:val="00F4601B"/>
    <w:rsid w:val="00F462A7"/>
    <w:rsid w:val="00F77054"/>
    <w:rsid w:val="00F81870"/>
    <w:rsid w:val="00F82DB8"/>
    <w:rsid w:val="00F9617C"/>
    <w:rsid w:val="00FD5392"/>
    <w:rsid w:val="00FE1A90"/>
    <w:rsid w:val="00FF476A"/>
    <w:rsid w:val="07035D2F"/>
    <w:rsid w:val="07B809CE"/>
    <w:rsid w:val="085C148C"/>
    <w:rsid w:val="09F86633"/>
    <w:rsid w:val="0B3F7D38"/>
    <w:rsid w:val="0BD7740C"/>
    <w:rsid w:val="126B7053"/>
    <w:rsid w:val="13E56991"/>
    <w:rsid w:val="147E4E1C"/>
    <w:rsid w:val="169F72CB"/>
    <w:rsid w:val="180B1F1F"/>
    <w:rsid w:val="195F2993"/>
    <w:rsid w:val="1A410195"/>
    <w:rsid w:val="1ADD5D48"/>
    <w:rsid w:val="1D744070"/>
    <w:rsid w:val="1E7E1F44"/>
    <w:rsid w:val="1FEF4E3B"/>
    <w:rsid w:val="210E021F"/>
    <w:rsid w:val="22DE784D"/>
    <w:rsid w:val="28940C5A"/>
    <w:rsid w:val="29241022"/>
    <w:rsid w:val="29A86A21"/>
    <w:rsid w:val="2B196E76"/>
    <w:rsid w:val="2B300A31"/>
    <w:rsid w:val="2D6055AE"/>
    <w:rsid w:val="2E25159E"/>
    <w:rsid w:val="3192385D"/>
    <w:rsid w:val="33F238E6"/>
    <w:rsid w:val="34EC3754"/>
    <w:rsid w:val="37C40671"/>
    <w:rsid w:val="38435673"/>
    <w:rsid w:val="3C687118"/>
    <w:rsid w:val="3D1D0DC6"/>
    <w:rsid w:val="3EC819E0"/>
    <w:rsid w:val="3F606149"/>
    <w:rsid w:val="4159610E"/>
    <w:rsid w:val="41925CC4"/>
    <w:rsid w:val="42C6780A"/>
    <w:rsid w:val="43447729"/>
    <w:rsid w:val="4491718B"/>
    <w:rsid w:val="487D1310"/>
    <w:rsid w:val="4A203CA4"/>
    <w:rsid w:val="4B3C4784"/>
    <w:rsid w:val="4BA64D0D"/>
    <w:rsid w:val="4BF202CC"/>
    <w:rsid w:val="4D2D013E"/>
    <w:rsid w:val="4D4128AF"/>
    <w:rsid w:val="4DE937BC"/>
    <w:rsid w:val="4E0542B2"/>
    <w:rsid w:val="51CA4C19"/>
    <w:rsid w:val="5570747C"/>
    <w:rsid w:val="59066C26"/>
    <w:rsid w:val="5A8D766B"/>
    <w:rsid w:val="5C9914E1"/>
    <w:rsid w:val="5DF77933"/>
    <w:rsid w:val="60AB73E1"/>
    <w:rsid w:val="6239194F"/>
    <w:rsid w:val="63620412"/>
    <w:rsid w:val="63A8019D"/>
    <w:rsid w:val="641B7B81"/>
    <w:rsid w:val="65F8334A"/>
    <w:rsid w:val="663836F9"/>
    <w:rsid w:val="67EA4012"/>
    <w:rsid w:val="6B9344A5"/>
    <w:rsid w:val="6C516147"/>
    <w:rsid w:val="6F176B74"/>
    <w:rsid w:val="71060D3C"/>
    <w:rsid w:val="712F311E"/>
    <w:rsid w:val="72E36D0B"/>
    <w:rsid w:val="752913AF"/>
    <w:rsid w:val="752F3AB5"/>
    <w:rsid w:val="76DFC3E1"/>
    <w:rsid w:val="77F8480C"/>
    <w:rsid w:val="78BC2217"/>
    <w:rsid w:val="7A744F05"/>
    <w:rsid w:val="7B7934A2"/>
    <w:rsid w:val="7DF703D1"/>
    <w:rsid w:val="7FAC2D0E"/>
    <w:rsid w:val="7FFC67F7"/>
    <w:rsid w:val="CFB3167C"/>
    <w:rsid w:val="E3F97341"/>
    <w:rsid w:val="FFE39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645"/>
    </w:pPr>
    <w:rPr>
      <w:rFonts w:ascii="仿宋_GB2312" w:eastAsia="仿宋_GB2312"/>
      <w:sz w:val="32"/>
    </w:rPr>
  </w:style>
  <w:style w:type="paragraph" w:styleId="4">
    <w:name w:val="Date"/>
    <w:basedOn w:val="1"/>
    <w:next w:val="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99"/>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autoRedefine/>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autoRedefine/>
    <w:qFormat/>
    <w:uiPriority w:val="99"/>
    <w:rPr>
      <w:color w:val="0000FF"/>
      <w:u w:val="single"/>
    </w:rPr>
  </w:style>
  <w:style w:type="paragraph" w:customStyle="1" w:styleId="16">
    <w:name w:val="Char"/>
    <w:basedOn w:val="1"/>
    <w:autoRedefine/>
    <w:qFormat/>
    <w:uiPriority w:val="0"/>
    <w:pPr>
      <w:widowControl/>
      <w:jc w:val="left"/>
    </w:pPr>
    <w:rPr>
      <w:rFonts w:ascii="Tahoma" w:hAnsi="Tahoma" w:cs="仿宋_GB2312"/>
      <w:kern w:val="0"/>
      <w:sz w:val="24"/>
    </w:rPr>
  </w:style>
  <w:style w:type="paragraph" w:customStyle="1" w:styleId="17">
    <w:name w:val="正文缩进1"/>
    <w:basedOn w:val="1"/>
    <w:autoRedefine/>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2272</Words>
  <Characters>2406</Characters>
  <Lines>20</Lines>
  <Paragraphs>5</Paragraphs>
  <TotalTime>21</TotalTime>
  <ScaleCrop>false</ScaleCrop>
  <LinksUpToDate>false</LinksUpToDate>
  <CharactersWithSpaces>2406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2024-01-17T08:07:00Z</dcterms:created>
  <dc:creator>Administrator</dc:creator>
  <cp:lastModifiedBy>XJIE</cp:lastModifiedBy>
  <cp:lastPrinted>2024-01-16T01:07:00Z</cp:lastPrinted>
  <dcterms:modified xsi:type="dcterms:W3CDTF">2025-01-23T03:07:26Z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BACA35FE661D4CBFB4C9E11AE856C629_13</vt:lpwstr>
  </property>
  <property fmtid="{D5CDD505-2E9C-101B-9397-08002B2CF9AE}" pid="3" name="KSOProductBuildVer">
    <vt:lpwstr>2052-12.1.0.19770</vt:lpwstr>
  </property>
  <property fmtid="{D5CDD505-2E9C-101B-9397-08002B2CF9AE}" pid="4" name="KSOTemplateDocerSaveRecord">
    <vt:lpwstr>eyJoZGlkIjoiNTFmZTVlYzk0OGVlY2ZhNWZmZWNjYWMyZDdjOWU2MmIiLCJ1c2VySWQiOiI0MTk0NzkwNzgifQ==</vt:lpwstr>
  </property>
</Properties>
</file>