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bCs/>
          <w:color w:val="333333"/>
          <w:spacing w:val="-17"/>
          <w:kern w:val="0"/>
          <w:sz w:val="44"/>
          <w:szCs w:val="44"/>
          <w:shd w:val="clear" w:color="auto" w:fill="FFFFFF"/>
        </w:rPr>
      </w:pPr>
      <w:bookmarkStart w:id="10" w:name="_GoBack"/>
      <w:r>
        <w:rPr>
          <w:rFonts w:hint="eastAsia" w:ascii="方正小标宋简体" w:hAnsi="方正小标宋简体" w:eastAsia="方正小标宋简体" w:cs="方正小标宋简体"/>
          <w:bCs/>
          <w:color w:val="333333"/>
          <w:kern w:val="0"/>
          <w:sz w:val="44"/>
          <w:szCs w:val="44"/>
          <w:shd w:val="clear" w:color="auto" w:fill="FFFFFF"/>
        </w:rPr>
        <w:t>枣庄市台儿庄区</w:t>
      </w:r>
      <w:r>
        <w:rPr>
          <w:rFonts w:hint="eastAsia" w:ascii="方正小标宋简体" w:hAnsi="方正小标宋简体" w:eastAsia="方正小标宋简体" w:cs="方正小标宋简体"/>
          <w:bCs/>
          <w:color w:val="333333"/>
          <w:spacing w:val="-17"/>
          <w:kern w:val="0"/>
          <w:sz w:val="44"/>
          <w:szCs w:val="44"/>
          <w:shd w:val="clear" w:color="auto" w:fill="FFFFFF"/>
        </w:rPr>
        <w:t>统计局</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bCs/>
          <w:color w:val="333333"/>
          <w:spacing w:val="-17"/>
          <w:kern w:val="0"/>
          <w:sz w:val="44"/>
          <w:szCs w:val="44"/>
          <w:shd w:val="clear" w:color="auto" w:fill="FFFFFF"/>
        </w:rPr>
      </w:pPr>
      <w:r>
        <w:rPr>
          <w:rFonts w:hint="eastAsia" w:ascii="方正小标宋简体" w:hAnsi="方正小标宋简体" w:eastAsia="方正小标宋简体" w:cs="方正小标宋简体"/>
          <w:bCs/>
          <w:color w:val="333333"/>
          <w:spacing w:val="-17"/>
          <w:kern w:val="0"/>
          <w:sz w:val="44"/>
          <w:szCs w:val="44"/>
          <w:shd w:val="clear" w:color="auto" w:fill="FFFFFF"/>
        </w:rPr>
        <w:t>2024年政府信息公开工作</w:t>
      </w:r>
      <w:r>
        <w:rPr>
          <w:rFonts w:hint="eastAsia" w:ascii="方正小标宋简体" w:hAnsi="方正小标宋简体" w:eastAsia="方正小标宋简体" w:cs="方正小标宋简体"/>
          <w:bCs/>
          <w:color w:val="333333"/>
          <w:kern w:val="0"/>
          <w:sz w:val="44"/>
          <w:szCs w:val="44"/>
          <w:shd w:val="clear" w:color="auto" w:fill="FFFFFF"/>
        </w:rPr>
        <w:t>年度报告</w:t>
      </w:r>
    </w:p>
    <w:bookmarkEnd w:id="10"/>
    <w:p>
      <w:pPr>
        <w:widowControl/>
        <w:shd w:val="clear" w:color="auto" w:fill="FFFFFF"/>
        <w:ind w:firstLine="420"/>
        <w:rPr>
          <w:rFonts w:ascii="宋体" w:hAnsi="宋体" w:eastAsia="宋体" w:cs="宋体"/>
          <w:color w:val="333333"/>
          <w:kern w:val="0"/>
          <w:sz w:val="24"/>
        </w:rPr>
      </w:pPr>
    </w:p>
    <w:p>
      <w:pPr>
        <w:widowControl/>
        <w:shd w:val="clear" w:color="auto" w:fill="FFFFFF"/>
        <w:spacing w:line="560" w:lineRule="exact"/>
        <w:ind w:firstLine="618"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政府信息公开条例》（国务院令第711号）、《国务院办公厅政府信息与政务公开办公室关于印发＜中华人民共和国政府信息公开工作年度报告格式＞的通知》（国办公开办函〔2021〕30号）要求，编制本报告。本报告包括：总体情况、主动公开政府信息情况、收到和处理政府信息公开申请情况、政府信息公开行政复议及行政诉讼情况、存在的主要问题及改进情况、其他需要报告的事项等六个部分。报告的电子版可在“台儿庄区政府门户网站”（http://www.tez.gov.cn/）下载。如对本报告有疑问，请与台儿庄区统计局办公室联系（地址：山东省枣庄市台儿庄区金光路71号;电话：0632-6611512邮政编码：277400；</w:t>
      </w:r>
      <w:r>
        <w:rPr>
          <w:rFonts w:hint="eastAsia" w:ascii="仿宋_GB2312" w:hAnsi="仿宋_GB2312" w:eastAsia="仿宋_GB2312" w:cs="仿宋_GB2312"/>
          <w:sz w:val="32"/>
          <w:szCs w:val="32"/>
          <w:highlight w:val="none"/>
        </w:rPr>
        <w:t>电子邮箱：teztjj@zz.shandong.cn）</w:t>
      </w:r>
      <w:r>
        <w:rPr>
          <w:rFonts w:hint="eastAsia" w:ascii="仿宋_GB2312" w:hAnsi="仿宋_GB2312" w:eastAsia="仿宋_GB2312" w:cs="仿宋_GB2312"/>
          <w:sz w:val="32"/>
          <w:szCs w:val="32"/>
        </w:rPr>
        <w:t>。</w:t>
      </w:r>
    </w:p>
    <w:p>
      <w:pPr>
        <w:widowControl/>
        <w:shd w:val="clear" w:color="auto" w:fill="FFFFFF"/>
        <w:spacing w:line="560" w:lineRule="exact"/>
        <w:ind w:firstLine="618"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shd w:val="clear" w:color="auto" w:fill="FFFFFF"/>
          <w14:textFill>
            <w14:solidFill>
              <w14:schemeClr w14:val="tx1"/>
            </w14:solidFill>
          </w14:textFill>
        </w:rPr>
        <w:t>一、总体情况</w:t>
      </w:r>
    </w:p>
    <w:p>
      <w:pPr>
        <w:spacing w:line="560" w:lineRule="exact"/>
        <w:ind w:firstLine="618"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2024年度，区统计局坚持全心全意为人民服务的宗旨，严格按照区委、区政府统一部署，认真贯彻执行《中华人民共和国政府信息公开条例》，不断加强政务公开力度，优化政务服务机制，提高政府信息公开工作水平，提高人民群众的满意度。</w:t>
      </w:r>
    </w:p>
    <w:p>
      <w:pPr>
        <w:spacing w:line="560" w:lineRule="exact"/>
        <w:ind w:firstLine="618"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1.主动公开情况。</w:t>
      </w:r>
      <w:r>
        <w:rPr>
          <w:rFonts w:hint="eastAsia" w:ascii="仿宋_GB2312" w:hAnsi="仿宋_GB2312" w:eastAsia="仿宋_GB2312" w:cs="仿宋_GB2312"/>
          <w:sz w:val="32"/>
          <w:szCs w:val="32"/>
        </w:rPr>
        <w:t>区统计局坚持贯彻落实《中华人民共和国政府信息公开条例》，主动公开《条例》第二十条规定的法定主动公开信息情况以及部门主动公开的其他政府信息情况、政策解读和回应关切等相关情况。2024年，区统计局通过政府网站发布85条信息。主要包括机关机构职能、统计信息、行政权力运行公开、法治政府建设等。</w:t>
      </w:r>
    </w:p>
    <w:p>
      <w:pPr>
        <w:spacing w:line="560" w:lineRule="exact"/>
        <w:ind w:firstLine="618"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2.依申请公开工作情况。</w:t>
      </w:r>
      <w:r>
        <w:rPr>
          <w:rFonts w:hint="eastAsia" w:ascii="仿宋_GB2312" w:hAnsi="仿宋_GB2312" w:eastAsia="仿宋_GB2312" w:cs="仿宋_GB2312"/>
          <w:sz w:val="32"/>
          <w:szCs w:val="32"/>
        </w:rPr>
        <w:t>为更好服务群众，区统计局认真开展依申请公开政府信息工作，通过线上、线下多种方式，积极落实依申请公开工作。2024年，区统计局未收到依申请公开政府信息。下一步，区统计局将进一步按照《中华人民共和国政府信息公开条例》规定，高质高效地做好依申请公开工作。</w:t>
      </w:r>
    </w:p>
    <w:p>
      <w:pPr>
        <w:spacing w:line="560" w:lineRule="exact"/>
        <w:ind w:firstLine="618"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3.政府信息管理情况。</w:t>
      </w:r>
      <w:r>
        <w:rPr>
          <w:rFonts w:hint="eastAsia" w:ascii="仿宋_GB2312" w:hAnsi="仿宋_GB2312" w:eastAsia="仿宋_GB2312" w:cs="仿宋_GB2312"/>
          <w:sz w:val="32"/>
          <w:szCs w:val="32"/>
        </w:rPr>
        <w:t>区统计局按照要求，主动、及时、规范、准确公开应当公开的政府信息，切实做到应公开尽公开，不断提升公开常态化、规范化、标准化水平。认真学习、落实《中华人民共和国保守国家秘密法》《中华人民共和国政府信息公开条例》等规定，严格做好政府信息公开保密审查，确保公开信息不涉密、涉密信息不公开。</w:t>
      </w:r>
    </w:p>
    <w:p>
      <w:pPr>
        <w:spacing w:line="560" w:lineRule="exact"/>
        <w:ind w:firstLine="618"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4.平台建设方面。</w:t>
      </w:r>
      <w:r>
        <w:rPr>
          <w:rFonts w:hint="eastAsia" w:ascii="仿宋_GB2312" w:hAnsi="仿宋_GB2312" w:eastAsia="仿宋_GB2312" w:cs="仿宋_GB2312"/>
          <w:sz w:val="32"/>
          <w:szCs w:val="32"/>
        </w:rPr>
        <w:t>区统计局围绕部门工作职责和意识形态工作要求不断推动网站集约化建设，及时更新网站专栏内容并定期维护，不断规范政务新媒体，并做好微信公众号的信息发布工作。</w:t>
      </w:r>
    </w:p>
    <w:p>
      <w:pPr>
        <w:spacing w:line="560" w:lineRule="exact"/>
        <w:ind w:firstLine="618"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5.监督保障方面。</w:t>
      </w:r>
      <w:r>
        <w:rPr>
          <w:rFonts w:hint="eastAsia" w:ascii="仿宋_GB2312" w:hAnsi="仿宋_GB2312" w:eastAsia="仿宋_GB2312" w:cs="仿宋_GB2312"/>
          <w:sz w:val="32"/>
          <w:szCs w:val="32"/>
        </w:rPr>
        <w:t>区统计局明确具体分管领导和专职工作人员,责任落实到岗,工作落实到人,保障政务公开工作顺利开展。定期组织专职人员认真学习《中华人民共和国政府信息公开条例》和保密工作相关法规、政策,积极参与政务公开业务培训，切实提高信息发布的主动性、积极性、创造性,切实保障人民群众知情权、参与权和监督权。</w:t>
      </w:r>
    </w:p>
    <w:p>
      <w:pPr>
        <w:widowControl/>
        <w:shd w:val="clear" w:color="auto" w:fill="FFFFFF"/>
        <w:spacing w:line="560" w:lineRule="exact"/>
        <w:ind w:firstLine="618" w:firstLineChars="200"/>
        <w:rPr>
          <w:rFonts w:ascii="黑体" w:hAnsi="黑体" w:eastAsia="黑体" w:cs="黑体"/>
          <w:bCs/>
          <w:color w:val="333333"/>
          <w:kern w:val="0"/>
          <w:sz w:val="32"/>
          <w:szCs w:val="32"/>
        </w:rPr>
      </w:pPr>
      <w:r>
        <w:rPr>
          <w:rFonts w:hint="eastAsia" w:ascii="黑体" w:hAnsi="黑体" w:eastAsia="黑体" w:cs="黑体"/>
          <w:bCs/>
          <w:color w:val="333333"/>
          <w:kern w:val="0"/>
          <w:sz w:val="32"/>
          <w:szCs w:val="32"/>
          <w:shd w:val="clear" w:color="auto" w:fill="FFFFFF"/>
        </w:rPr>
        <w:t>二、主动公开政府信息情况</w:t>
      </w:r>
    </w:p>
    <w:tbl>
      <w:tblPr>
        <w:tblStyle w:val="2"/>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Calibri" w:eastAsia="仿宋_GB2312" w:cs="Calibri"/>
                <w:kern w:val="0"/>
                <w:szCs w:val="21"/>
              </w:rPr>
            </w:pPr>
            <w:r>
              <w:rPr>
                <w:rFonts w:hint="eastAsia" w:ascii="仿宋_GB2312" w:hAnsi="宋体" w:eastAsia="仿宋_GB2312" w:cs="宋体"/>
                <w:kern w:val="0"/>
                <w:szCs w:val="21"/>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w:t>
            </w:r>
          </w:p>
        </w:tc>
      </w:tr>
      <w:tr>
        <w:tblPrEx>
          <w:tblCellMar>
            <w:top w:w="0" w:type="dxa"/>
            <w:left w:w="108" w:type="dxa"/>
            <w:bottom w:w="0" w:type="dxa"/>
            <w:right w:w="108" w:type="dxa"/>
          </w:tblCellMar>
        </w:tblPrEx>
        <w:trPr>
          <w:trHeight w:val="561"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kern w:val="0"/>
                <w:szCs w:val="21"/>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Calibri" w:eastAsia="仿宋_GB2312" w:cs="Calibri"/>
                <w:kern w:val="0"/>
                <w:szCs w:val="21"/>
              </w:rPr>
            </w:pPr>
            <w:r>
              <w:rPr>
                <w:rFonts w:hint="eastAsia" w:ascii="仿宋_GB2312" w:hAnsi="Calibri" w:eastAsia="仿宋_GB2312" w:cs="Calibri"/>
                <w:kern w:val="0"/>
                <w:szCs w:val="21"/>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Calibri" w:eastAsia="仿宋_GB2312" w:cs="Calibri"/>
                <w:kern w:val="0"/>
                <w:szCs w:val="21"/>
              </w:rPr>
            </w:pPr>
            <w:r>
              <w:rPr>
                <w:rFonts w:hint="eastAsia" w:ascii="仿宋_GB2312" w:hAnsi="Calibri" w:eastAsia="仿宋_GB2312" w:cs="Calibri"/>
                <w:kern w:val="0"/>
                <w:szCs w:val="21"/>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kern w:val="0"/>
                <w:szCs w:val="21"/>
              </w:rPr>
              <w:t>0</w:t>
            </w:r>
          </w:p>
        </w:tc>
      </w:tr>
    </w:tbl>
    <w:p>
      <w:pPr>
        <w:rPr>
          <w:rFonts w:ascii="黑体" w:hAnsi="黑体" w:eastAsia="黑体" w:cs="黑体"/>
          <w:bCs/>
          <w:color w:val="333333"/>
          <w:kern w:val="0"/>
          <w:sz w:val="32"/>
          <w:szCs w:val="32"/>
          <w:shd w:val="clear" w:color="auto" w:fill="FFFFFF"/>
          <w:lang w:bidi="ar"/>
        </w:rPr>
      </w:pPr>
      <w:r>
        <w:rPr>
          <w:rFonts w:hint="eastAsia" w:ascii="黑体" w:hAnsi="黑体" w:eastAsia="黑体" w:cs="黑体"/>
          <w:bCs/>
          <w:color w:val="333333"/>
          <w:kern w:val="0"/>
          <w:sz w:val="32"/>
          <w:szCs w:val="32"/>
          <w:shd w:val="clear" w:color="auto" w:fill="FFFFFF"/>
          <w:lang w:bidi="ar"/>
        </w:rPr>
        <w:t>三、收到和处理政府信息公开申请情况</w:t>
      </w:r>
    </w:p>
    <w:tbl>
      <w:tblPr>
        <w:tblStyle w:val="2"/>
        <w:tblW w:w="95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5"/>
        <w:gridCol w:w="1699"/>
        <w:gridCol w:w="2973"/>
        <w:gridCol w:w="752"/>
        <w:gridCol w:w="540"/>
        <w:gridCol w:w="540"/>
        <w:gridCol w:w="720"/>
        <w:gridCol w:w="675"/>
        <w:gridCol w:w="526"/>
        <w:gridCol w:w="7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cs="Times New Roman"/>
                <w:kern w:val="0"/>
                <w:szCs w:val="21"/>
              </w:rPr>
            </w:pPr>
            <w:r>
              <w:rPr>
                <w:rFonts w:hint="eastAsia" w:ascii="楷体_GB2312" w:hAnsi="黑体" w:eastAsia="楷体_GB2312" w:cs="Times New Roman"/>
                <w:kern w:val="0"/>
                <w:szCs w:val="21"/>
              </w:rPr>
              <w:t>（本列数据的勾稽关系为：第一项加第二项之和，</w:t>
            </w:r>
          </w:p>
          <w:p>
            <w:pPr>
              <w:widowControl/>
              <w:jc w:val="center"/>
              <w:rPr>
                <w:rFonts w:ascii="仿宋_GB2312" w:hAnsi="Times New Roman" w:eastAsia="仿宋_GB2312" w:cs="Times New Roman"/>
                <w:szCs w:val="21"/>
              </w:rPr>
            </w:pPr>
            <w:r>
              <w:rPr>
                <w:rFonts w:hint="eastAsia" w:ascii="楷体_GB2312" w:hAnsi="黑体" w:eastAsia="楷体_GB2312" w:cs="Times New Roman"/>
                <w:kern w:val="0"/>
                <w:szCs w:val="21"/>
              </w:rPr>
              <w:t>等于第三项加第四项之和）</w:t>
            </w:r>
          </w:p>
        </w:tc>
        <w:tc>
          <w:tcPr>
            <w:tcW w:w="4448" w:type="dxa"/>
            <w:gridSpan w:val="7"/>
            <w:shd w:val="clear" w:color="auto" w:fill="auto"/>
            <w:tcMar>
              <w:left w:w="108" w:type="dxa"/>
              <w:right w:w="108" w:type="dxa"/>
            </w:tcMar>
            <w:vAlign w:val="center"/>
          </w:tcPr>
          <w:p>
            <w:pPr>
              <w:widowControl/>
              <w:spacing w:line="320" w:lineRule="exact"/>
              <w:jc w:val="center"/>
              <w:rPr>
                <w:rFonts w:ascii="黑体" w:hAnsi="黑体" w:eastAsia="黑体" w:cs="Times New Roman"/>
                <w:szCs w:val="21"/>
              </w:rPr>
            </w:pPr>
            <w:r>
              <w:rPr>
                <w:rFonts w:hint="eastAsia" w:ascii="黑体" w:hAnsi="黑体" w:eastAsia="黑体" w:cs="Times New Roman"/>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cs="Times New Roman"/>
                <w:szCs w:val="21"/>
              </w:rPr>
            </w:pPr>
          </w:p>
        </w:tc>
        <w:tc>
          <w:tcPr>
            <w:tcW w:w="747" w:type="dxa"/>
            <w:vMerge w:val="restart"/>
            <w:shd w:val="clear" w:color="auto" w:fill="auto"/>
            <w:tcMar>
              <w:left w:w="108" w:type="dxa"/>
              <w:right w:w="108" w:type="dxa"/>
            </w:tcMar>
            <w:vAlign w:val="center"/>
          </w:tcPr>
          <w:p>
            <w:pPr>
              <w:widowControl/>
              <w:jc w:val="center"/>
              <w:rPr>
                <w:rFonts w:ascii="黑体" w:hAnsi="黑体" w:eastAsia="黑体" w:cs="Times New Roman"/>
                <w:szCs w:val="21"/>
              </w:rPr>
            </w:pPr>
            <w:r>
              <w:rPr>
                <w:rFonts w:hint="eastAsia" w:ascii="黑体" w:hAnsi="黑体" w:eastAsia="黑体" w:cs="Times New Roman"/>
                <w:kern w:val="0"/>
                <w:szCs w:val="21"/>
              </w:rPr>
              <w:t>自然人</w:t>
            </w:r>
          </w:p>
        </w:tc>
        <w:tc>
          <w:tcPr>
            <w:tcW w:w="3000" w:type="dxa"/>
            <w:gridSpan w:val="5"/>
            <w:shd w:val="clear" w:color="auto" w:fill="auto"/>
            <w:tcMar>
              <w:left w:w="108" w:type="dxa"/>
              <w:right w:w="108" w:type="dxa"/>
            </w:tcMar>
            <w:vAlign w:val="center"/>
          </w:tcPr>
          <w:p>
            <w:pPr>
              <w:widowControl/>
              <w:spacing w:line="320" w:lineRule="exact"/>
              <w:jc w:val="center"/>
              <w:rPr>
                <w:rFonts w:ascii="黑体" w:hAnsi="黑体" w:eastAsia="黑体" w:cs="Times New Roman"/>
                <w:szCs w:val="21"/>
              </w:rPr>
            </w:pPr>
            <w:r>
              <w:rPr>
                <w:rFonts w:hint="eastAsia" w:ascii="黑体" w:hAnsi="黑体" w:eastAsia="黑体" w:cs="Times New Roman"/>
                <w:kern w:val="0"/>
                <w:szCs w:val="21"/>
              </w:rPr>
              <w:t>法人或其他组织</w:t>
            </w:r>
          </w:p>
        </w:tc>
        <w:tc>
          <w:tcPr>
            <w:tcW w:w="701" w:type="dxa"/>
            <w:vMerge w:val="restart"/>
            <w:shd w:val="clear" w:color="auto" w:fill="auto"/>
            <w:tcMar>
              <w:left w:w="108" w:type="dxa"/>
              <w:right w:w="108" w:type="dxa"/>
            </w:tcMar>
            <w:vAlign w:val="center"/>
          </w:tcPr>
          <w:p>
            <w:pPr>
              <w:widowControl/>
              <w:jc w:val="center"/>
              <w:rPr>
                <w:rFonts w:ascii="黑体" w:hAnsi="黑体" w:eastAsia="黑体" w:cs="Times New Roman"/>
                <w:szCs w:val="21"/>
              </w:rPr>
            </w:pPr>
            <w:r>
              <w:rPr>
                <w:rFonts w:hint="eastAsia" w:ascii="黑体" w:hAnsi="黑体" w:eastAsia="黑体" w:cs="Times New Roman"/>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cs="Times New Roman"/>
                <w:szCs w:val="21"/>
              </w:rPr>
            </w:pPr>
          </w:p>
        </w:tc>
        <w:tc>
          <w:tcPr>
            <w:tcW w:w="747" w:type="dxa"/>
            <w:vMerge w:val="continue"/>
            <w:shd w:val="clear" w:color="auto" w:fill="auto"/>
            <w:tcMar>
              <w:left w:w="108" w:type="dxa"/>
              <w:right w:w="108" w:type="dxa"/>
            </w:tcMar>
            <w:vAlign w:val="center"/>
          </w:tcPr>
          <w:p>
            <w:pPr>
              <w:jc w:val="center"/>
              <w:rPr>
                <w:rFonts w:ascii="黑体" w:hAnsi="黑体" w:eastAsia="黑体" w:cs="Times New Roman"/>
                <w:szCs w:val="21"/>
              </w:rPr>
            </w:pPr>
          </w:p>
        </w:tc>
        <w:tc>
          <w:tcPr>
            <w:tcW w:w="540" w:type="dxa"/>
            <w:shd w:val="clear" w:color="auto" w:fill="auto"/>
            <w:tcMar>
              <w:left w:w="108" w:type="dxa"/>
              <w:right w:w="108" w:type="dxa"/>
            </w:tcMar>
            <w:vAlign w:val="center"/>
          </w:tcPr>
          <w:p>
            <w:pPr>
              <w:widowControl/>
              <w:spacing w:line="320" w:lineRule="exact"/>
              <w:ind w:left="-100" w:leftChars="-51" w:right="-101" w:rightChars="-51" w:hanging="1"/>
              <w:jc w:val="center"/>
              <w:rPr>
                <w:rFonts w:ascii="黑体" w:hAnsi="黑体" w:eastAsia="黑体" w:cs="Times New Roman"/>
                <w:szCs w:val="21"/>
              </w:rPr>
            </w:pPr>
            <w:r>
              <w:rPr>
                <w:rFonts w:hint="eastAsia" w:ascii="黑体" w:hAnsi="黑体" w:eastAsia="黑体" w:cs="Times New Roman"/>
                <w:kern w:val="0"/>
                <w:szCs w:val="21"/>
              </w:rPr>
              <w:t>商业企业</w:t>
            </w:r>
          </w:p>
        </w:tc>
        <w:tc>
          <w:tcPr>
            <w:tcW w:w="540" w:type="dxa"/>
            <w:shd w:val="clear" w:color="auto" w:fill="auto"/>
            <w:tcMar>
              <w:left w:w="108" w:type="dxa"/>
              <w:right w:w="108" w:type="dxa"/>
            </w:tcMar>
            <w:vAlign w:val="center"/>
          </w:tcPr>
          <w:p>
            <w:pPr>
              <w:widowControl/>
              <w:spacing w:line="320" w:lineRule="exact"/>
              <w:ind w:left="-101" w:leftChars="-51" w:right="-101" w:rightChars="-51"/>
              <w:jc w:val="center"/>
              <w:rPr>
                <w:rFonts w:ascii="黑体" w:hAnsi="黑体" w:eastAsia="黑体" w:cs="Times New Roman"/>
                <w:szCs w:val="21"/>
              </w:rPr>
            </w:pPr>
            <w:r>
              <w:rPr>
                <w:rFonts w:hint="eastAsia" w:ascii="黑体" w:hAnsi="黑体" w:eastAsia="黑体" w:cs="Times New Roman"/>
                <w:kern w:val="0"/>
                <w:szCs w:val="21"/>
              </w:rPr>
              <w:t>科研机构</w:t>
            </w:r>
          </w:p>
        </w:tc>
        <w:tc>
          <w:tcPr>
            <w:tcW w:w="720" w:type="dxa"/>
            <w:shd w:val="clear" w:color="auto" w:fill="auto"/>
            <w:tcMar>
              <w:left w:w="108" w:type="dxa"/>
              <w:right w:w="108" w:type="dxa"/>
            </w:tcMar>
            <w:vAlign w:val="center"/>
          </w:tcPr>
          <w:p>
            <w:pPr>
              <w:widowControl/>
              <w:spacing w:line="320" w:lineRule="exact"/>
              <w:ind w:left="-101" w:leftChars="-51" w:right="-101" w:rightChars="-51"/>
              <w:jc w:val="center"/>
              <w:rPr>
                <w:rFonts w:ascii="黑体" w:hAnsi="黑体" w:eastAsia="黑体" w:cs="Times New Roman"/>
                <w:szCs w:val="21"/>
              </w:rPr>
            </w:pPr>
            <w:r>
              <w:rPr>
                <w:rFonts w:hint="eastAsia" w:ascii="黑体" w:hAnsi="黑体" w:eastAsia="黑体" w:cs="Times New Roman"/>
                <w:kern w:val="0"/>
                <w:szCs w:val="21"/>
              </w:rPr>
              <w:t>社会公益组织</w:t>
            </w:r>
          </w:p>
        </w:tc>
        <w:tc>
          <w:tcPr>
            <w:tcW w:w="675" w:type="dxa"/>
            <w:shd w:val="clear" w:color="auto" w:fill="auto"/>
            <w:tcMar>
              <w:left w:w="108" w:type="dxa"/>
              <w:right w:w="108" w:type="dxa"/>
            </w:tcMar>
            <w:vAlign w:val="center"/>
          </w:tcPr>
          <w:p>
            <w:pPr>
              <w:widowControl/>
              <w:spacing w:line="320" w:lineRule="exact"/>
              <w:ind w:left="-100" w:leftChars="-51" w:right="-101" w:rightChars="-51" w:hanging="1"/>
              <w:jc w:val="center"/>
              <w:rPr>
                <w:rFonts w:ascii="黑体" w:hAnsi="黑体" w:eastAsia="黑体" w:cs="Times New Roman"/>
                <w:szCs w:val="21"/>
              </w:rPr>
            </w:pPr>
            <w:r>
              <w:rPr>
                <w:rFonts w:hint="eastAsia" w:ascii="黑体" w:hAnsi="黑体" w:eastAsia="黑体" w:cs="Times New Roman"/>
                <w:kern w:val="0"/>
                <w:szCs w:val="21"/>
              </w:rPr>
              <w:t>法律服务机构</w:t>
            </w:r>
          </w:p>
        </w:tc>
        <w:tc>
          <w:tcPr>
            <w:tcW w:w="525" w:type="dxa"/>
            <w:shd w:val="clear" w:color="auto" w:fill="auto"/>
            <w:tcMar>
              <w:left w:w="108" w:type="dxa"/>
              <w:right w:w="108" w:type="dxa"/>
            </w:tcMar>
            <w:vAlign w:val="center"/>
          </w:tcPr>
          <w:p>
            <w:pPr>
              <w:widowControl/>
              <w:spacing w:line="360" w:lineRule="exact"/>
              <w:ind w:left="-59" w:leftChars="-30" w:right="-127" w:rightChars="-64"/>
              <w:jc w:val="center"/>
              <w:rPr>
                <w:rFonts w:ascii="黑体" w:hAnsi="黑体" w:eastAsia="黑体" w:cs="Times New Roman"/>
                <w:szCs w:val="21"/>
              </w:rPr>
            </w:pPr>
            <w:r>
              <w:rPr>
                <w:rFonts w:hint="eastAsia" w:ascii="黑体" w:hAnsi="黑体" w:eastAsia="黑体" w:cs="Times New Roman"/>
                <w:kern w:val="0"/>
                <w:szCs w:val="21"/>
              </w:rPr>
              <w:t>其他</w:t>
            </w:r>
          </w:p>
        </w:tc>
        <w:tc>
          <w:tcPr>
            <w:tcW w:w="701" w:type="dxa"/>
            <w:vMerge w:val="continue"/>
            <w:shd w:val="clear" w:color="auto" w:fill="auto"/>
            <w:tcMar>
              <w:left w:w="108" w:type="dxa"/>
              <w:right w:w="108" w:type="dxa"/>
            </w:tcMar>
            <w:vAlign w:val="center"/>
          </w:tcPr>
          <w:p>
            <w:pPr>
              <w:jc w:val="center"/>
              <w:rPr>
                <w:rFonts w:ascii="仿宋_GB2312" w:hAnsi="Times New Roman" w:eastAsia="仿宋_GB2312"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cs="Times New Roman"/>
                <w:szCs w:val="21"/>
              </w:rPr>
            </w:pPr>
            <w:r>
              <w:rPr>
                <w:rFonts w:hint="eastAsia" w:ascii="黑体" w:hAnsi="黑体" w:eastAsia="黑体" w:cs="Times New Roman"/>
                <w:kern w:val="0"/>
                <w:szCs w:val="21"/>
              </w:rPr>
              <w:t>一、</w:t>
            </w:r>
            <w:bookmarkStart w:id="0" w:name="_Hlk66973412"/>
            <w:r>
              <w:rPr>
                <w:rFonts w:hint="eastAsia" w:ascii="黑体" w:hAnsi="黑体" w:eastAsia="黑体" w:cs="Times New Roman"/>
                <w:kern w:val="0"/>
                <w:szCs w:val="21"/>
              </w:rPr>
              <w:t>本年新收政府信息公开申请数量</w:t>
            </w:r>
            <w:bookmarkEnd w:id="0"/>
          </w:p>
        </w:tc>
        <w:tc>
          <w:tcPr>
            <w:tcW w:w="747"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cs="Times New Roman"/>
                <w:szCs w:val="21"/>
              </w:rPr>
            </w:pPr>
            <w:r>
              <w:rPr>
                <w:rFonts w:hint="eastAsia" w:ascii="黑体" w:hAnsi="黑体" w:eastAsia="黑体" w:cs="Times New Roman"/>
                <w:kern w:val="0"/>
                <w:szCs w:val="21"/>
              </w:rPr>
              <w:t>二、上年结转政府信息公开申请数量</w:t>
            </w:r>
          </w:p>
        </w:tc>
        <w:tc>
          <w:tcPr>
            <w:tcW w:w="747"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cs="Times New Roman"/>
                <w:szCs w:val="21"/>
              </w:rPr>
            </w:pPr>
            <w:r>
              <w:rPr>
                <w:rFonts w:hint="eastAsia" w:ascii="黑体" w:hAnsi="黑体" w:eastAsia="黑体" w:cs="Times New Roman"/>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cs="Times New Roman"/>
                <w:szCs w:val="21"/>
              </w:rPr>
            </w:pPr>
            <w:r>
              <w:rPr>
                <w:rFonts w:hint="eastAsia" w:ascii="黑体" w:hAnsi="黑体" w:eastAsia="黑体" w:cs="Times New Roman"/>
                <w:kern w:val="0"/>
                <w:szCs w:val="21"/>
              </w:rPr>
              <w:t>（一）予以公开</w:t>
            </w:r>
          </w:p>
        </w:tc>
        <w:tc>
          <w:tcPr>
            <w:tcW w:w="752"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535"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526"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700"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s="Times New Roman"/>
                <w:szCs w:val="21"/>
              </w:rPr>
            </w:pPr>
          </w:p>
        </w:tc>
        <w:tc>
          <w:tcPr>
            <w:tcW w:w="4677" w:type="dxa"/>
            <w:gridSpan w:val="2"/>
            <w:shd w:val="clear" w:color="auto" w:fill="auto"/>
            <w:tcMar>
              <w:left w:w="108" w:type="dxa"/>
              <w:right w:w="108" w:type="dxa"/>
            </w:tcMar>
            <w:vAlign w:val="center"/>
          </w:tcPr>
          <w:p>
            <w:pPr>
              <w:widowControl/>
              <w:rPr>
                <w:rFonts w:ascii="黑体" w:hAnsi="黑体" w:eastAsia="黑体" w:cs="Times New Roman"/>
                <w:szCs w:val="21"/>
              </w:rPr>
            </w:pPr>
            <w:r>
              <w:rPr>
                <w:rFonts w:hint="eastAsia" w:ascii="黑体" w:hAnsi="黑体" w:eastAsia="黑体" w:cs="Times New Roman"/>
                <w:kern w:val="0"/>
                <w:szCs w:val="21"/>
              </w:rPr>
              <w:t>（二）部分公开（</w:t>
            </w:r>
            <w:bookmarkStart w:id="1" w:name="_Hlk66973981"/>
            <w:r>
              <w:rPr>
                <w:rFonts w:hint="eastAsia" w:ascii="黑体" w:hAnsi="黑体" w:eastAsia="黑体" w:cs="Times New Roman"/>
                <w:kern w:val="0"/>
                <w:szCs w:val="21"/>
              </w:rPr>
              <w:t>区分处理的，只计这一情形，不计其他情形</w:t>
            </w:r>
            <w:bookmarkEnd w:id="1"/>
            <w:r>
              <w:rPr>
                <w:rFonts w:hint="eastAsia" w:ascii="黑体" w:hAnsi="黑体" w:eastAsia="黑体" w:cs="Times New Roman"/>
                <w:kern w:val="0"/>
                <w:szCs w:val="21"/>
              </w:rPr>
              <w:t>）</w:t>
            </w:r>
          </w:p>
        </w:tc>
        <w:tc>
          <w:tcPr>
            <w:tcW w:w="752"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535"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526"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700"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s="Times New Roman"/>
                <w:szCs w:val="21"/>
              </w:rPr>
            </w:pPr>
          </w:p>
        </w:tc>
        <w:tc>
          <w:tcPr>
            <w:tcW w:w="1701" w:type="dxa"/>
            <w:vMerge w:val="restart"/>
            <w:shd w:val="clear" w:color="auto" w:fill="auto"/>
            <w:tcMar>
              <w:left w:w="108" w:type="dxa"/>
              <w:right w:w="108" w:type="dxa"/>
            </w:tcMar>
            <w:vAlign w:val="center"/>
          </w:tcPr>
          <w:p>
            <w:pPr>
              <w:widowControl/>
              <w:spacing w:line="200" w:lineRule="exact"/>
              <w:ind w:left="-101" w:leftChars="-51"/>
              <w:rPr>
                <w:rFonts w:ascii="黑体" w:hAnsi="黑体" w:eastAsia="黑体" w:cs="Times New Roman"/>
                <w:szCs w:val="21"/>
              </w:rPr>
            </w:pPr>
            <w:r>
              <w:rPr>
                <w:rFonts w:hint="eastAsia" w:ascii="黑体" w:hAnsi="黑体" w:eastAsia="黑体" w:cs="Times New Roman"/>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s="Times New Roman"/>
                <w:kern w:val="0"/>
                <w:szCs w:val="21"/>
              </w:rPr>
            </w:pPr>
            <w:r>
              <w:rPr>
                <w:rFonts w:hint="eastAsia" w:ascii="仿宋_GB2312" w:hAnsi="黑体" w:eastAsia="仿宋_GB2312" w:cs="Times New Roman"/>
                <w:kern w:val="0"/>
                <w:szCs w:val="21"/>
              </w:rPr>
              <w:t>1.属于国家秘密</w:t>
            </w:r>
          </w:p>
        </w:tc>
        <w:tc>
          <w:tcPr>
            <w:tcW w:w="747"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s="Times New Roman"/>
                <w:kern w:val="0"/>
                <w:szCs w:val="21"/>
              </w:rPr>
            </w:pPr>
            <w:r>
              <w:rPr>
                <w:rFonts w:hint="eastAsia" w:ascii="仿宋_GB2312" w:hAnsi="黑体" w:eastAsia="仿宋_GB2312" w:cs="Times New Roman"/>
                <w:kern w:val="0"/>
                <w:szCs w:val="21"/>
              </w:rPr>
              <w:t>2.</w:t>
            </w:r>
            <w:bookmarkStart w:id="2" w:name="_Hlk66974104"/>
            <w:r>
              <w:rPr>
                <w:rFonts w:hint="eastAsia" w:ascii="仿宋_GB2312" w:hAnsi="黑体" w:eastAsia="仿宋_GB2312" w:cs="Times New Roman"/>
                <w:kern w:val="0"/>
                <w:szCs w:val="21"/>
              </w:rPr>
              <w:t>其他法律行政法规禁止公开</w:t>
            </w:r>
            <w:bookmarkEnd w:id="2"/>
          </w:p>
        </w:tc>
        <w:tc>
          <w:tcPr>
            <w:tcW w:w="747"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s="Times New Roman"/>
                <w:kern w:val="0"/>
                <w:szCs w:val="21"/>
              </w:rPr>
            </w:pPr>
            <w:r>
              <w:rPr>
                <w:rFonts w:hint="eastAsia" w:ascii="仿宋_GB2312" w:hAnsi="黑体" w:eastAsia="仿宋_GB2312" w:cs="Times New Roman"/>
                <w:kern w:val="0"/>
                <w:szCs w:val="21"/>
              </w:rPr>
              <w:t>3.危及“三安全一稳定”</w:t>
            </w:r>
          </w:p>
        </w:tc>
        <w:tc>
          <w:tcPr>
            <w:tcW w:w="747"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s="Times New Roman"/>
                <w:kern w:val="0"/>
                <w:szCs w:val="21"/>
              </w:rPr>
            </w:pPr>
            <w:r>
              <w:rPr>
                <w:rFonts w:hint="eastAsia" w:ascii="仿宋_GB2312" w:hAnsi="黑体" w:eastAsia="仿宋_GB2312" w:cs="Times New Roman"/>
                <w:kern w:val="0"/>
                <w:szCs w:val="21"/>
              </w:rPr>
              <w:t>4.</w:t>
            </w:r>
            <w:bookmarkStart w:id="3" w:name="_Hlk66974290"/>
            <w:r>
              <w:rPr>
                <w:rFonts w:hint="eastAsia" w:ascii="仿宋_GB2312" w:hAnsi="黑体" w:eastAsia="仿宋_GB2312" w:cs="Times New Roman"/>
                <w:kern w:val="0"/>
                <w:szCs w:val="21"/>
              </w:rPr>
              <w:t>保护第三方合法权益</w:t>
            </w:r>
            <w:bookmarkEnd w:id="3"/>
          </w:p>
        </w:tc>
        <w:tc>
          <w:tcPr>
            <w:tcW w:w="747"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s="Times New Roman"/>
                <w:kern w:val="0"/>
                <w:szCs w:val="21"/>
              </w:rPr>
            </w:pPr>
            <w:r>
              <w:rPr>
                <w:rFonts w:hint="eastAsia" w:ascii="仿宋_GB2312" w:hAnsi="黑体" w:eastAsia="仿宋_GB2312" w:cs="Times New Roman"/>
                <w:kern w:val="0"/>
                <w:szCs w:val="21"/>
              </w:rPr>
              <w:t>5.属于三类内部事务信息</w:t>
            </w:r>
          </w:p>
        </w:tc>
        <w:tc>
          <w:tcPr>
            <w:tcW w:w="747"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s="Times New Roman"/>
                <w:kern w:val="0"/>
                <w:szCs w:val="21"/>
              </w:rPr>
            </w:pPr>
            <w:r>
              <w:rPr>
                <w:rFonts w:hint="eastAsia" w:ascii="仿宋_GB2312" w:hAnsi="黑体" w:eastAsia="仿宋_GB2312" w:cs="Times New Roman"/>
                <w:kern w:val="0"/>
                <w:szCs w:val="21"/>
              </w:rPr>
              <w:t>6.</w:t>
            </w:r>
            <w:bookmarkStart w:id="4" w:name="_Hlk66974555"/>
            <w:r>
              <w:rPr>
                <w:rFonts w:hint="eastAsia" w:ascii="仿宋_GB2312" w:hAnsi="黑体" w:eastAsia="仿宋_GB2312" w:cs="Times New Roman"/>
                <w:kern w:val="0"/>
                <w:szCs w:val="21"/>
              </w:rPr>
              <w:t>属于四类过程性信息</w:t>
            </w:r>
            <w:bookmarkEnd w:id="4"/>
          </w:p>
        </w:tc>
        <w:tc>
          <w:tcPr>
            <w:tcW w:w="747"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s="Times New Roman"/>
                <w:kern w:val="0"/>
                <w:szCs w:val="21"/>
              </w:rPr>
            </w:pPr>
            <w:r>
              <w:rPr>
                <w:rFonts w:hint="eastAsia" w:ascii="仿宋_GB2312" w:hAnsi="黑体" w:eastAsia="仿宋_GB2312" w:cs="Times New Roman"/>
                <w:kern w:val="0"/>
                <w:szCs w:val="21"/>
              </w:rPr>
              <w:t>7.属于行政执法案卷</w:t>
            </w:r>
          </w:p>
        </w:tc>
        <w:tc>
          <w:tcPr>
            <w:tcW w:w="747"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s="Times New Roman"/>
                <w:kern w:val="0"/>
                <w:szCs w:val="21"/>
              </w:rPr>
            </w:pPr>
            <w:r>
              <w:rPr>
                <w:rFonts w:hint="eastAsia" w:ascii="仿宋_GB2312" w:hAnsi="黑体" w:eastAsia="仿宋_GB2312" w:cs="Times New Roman"/>
                <w:kern w:val="0"/>
                <w:szCs w:val="21"/>
              </w:rPr>
              <w:t>8.</w:t>
            </w:r>
            <w:bookmarkStart w:id="5" w:name="_Hlk66975211"/>
            <w:r>
              <w:rPr>
                <w:rFonts w:hint="eastAsia" w:ascii="仿宋_GB2312" w:hAnsi="黑体" w:eastAsia="仿宋_GB2312" w:cs="Times New Roman"/>
                <w:kern w:val="0"/>
                <w:szCs w:val="21"/>
              </w:rPr>
              <w:t>属于行政查询事项</w:t>
            </w:r>
            <w:bookmarkEnd w:id="5"/>
          </w:p>
        </w:tc>
        <w:tc>
          <w:tcPr>
            <w:tcW w:w="747"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s="Times New Roman"/>
                <w:szCs w:val="21"/>
              </w:rPr>
            </w:pPr>
          </w:p>
        </w:tc>
        <w:tc>
          <w:tcPr>
            <w:tcW w:w="1701" w:type="dxa"/>
            <w:vMerge w:val="restart"/>
            <w:shd w:val="clear" w:color="auto" w:fill="auto"/>
            <w:tcMar>
              <w:left w:w="108" w:type="dxa"/>
              <w:right w:w="108" w:type="dxa"/>
            </w:tcMar>
            <w:vAlign w:val="center"/>
          </w:tcPr>
          <w:p>
            <w:pPr>
              <w:widowControl/>
              <w:spacing w:line="200" w:lineRule="exact"/>
              <w:ind w:left="-101" w:leftChars="-51"/>
              <w:rPr>
                <w:rFonts w:ascii="黑体" w:hAnsi="黑体" w:eastAsia="黑体" w:cs="Times New Roman"/>
                <w:szCs w:val="21"/>
              </w:rPr>
            </w:pPr>
            <w:r>
              <w:rPr>
                <w:rFonts w:hint="eastAsia" w:ascii="黑体" w:hAnsi="黑体" w:eastAsia="黑体" w:cs="Times New Roman"/>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s="Times New Roman"/>
                <w:kern w:val="0"/>
                <w:szCs w:val="21"/>
              </w:rPr>
            </w:pPr>
            <w:r>
              <w:rPr>
                <w:rFonts w:hint="eastAsia" w:ascii="仿宋_GB2312" w:hAnsi="黑体" w:eastAsia="仿宋_GB2312" w:cs="Times New Roman"/>
                <w:kern w:val="0"/>
                <w:szCs w:val="21"/>
              </w:rPr>
              <w:t>1.本机关不掌握相关政府信息</w:t>
            </w:r>
          </w:p>
        </w:tc>
        <w:tc>
          <w:tcPr>
            <w:tcW w:w="747"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s="Times New Roman"/>
                <w:szCs w:val="21"/>
              </w:rPr>
            </w:pPr>
          </w:p>
        </w:tc>
        <w:tc>
          <w:tcPr>
            <w:tcW w:w="1701" w:type="dxa"/>
            <w:vMerge w:val="continue"/>
            <w:shd w:val="clear" w:color="auto" w:fill="auto"/>
            <w:tcMar>
              <w:left w:w="108" w:type="dxa"/>
              <w:right w:w="108" w:type="dxa"/>
            </w:tcMar>
            <w:vAlign w:val="center"/>
          </w:tcPr>
          <w:p>
            <w:pPr>
              <w:spacing w:line="200" w:lineRule="exact"/>
              <w:ind w:left="-101" w:leftChars="-51"/>
              <w:rPr>
                <w:rFonts w:ascii="黑体" w:hAnsi="黑体"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s="Times New Roman"/>
                <w:kern w:val="0"/>
                <w:szCs w:val="21"/>
              </w:rPr>
            </w:pPr>
            <w:r>
              <w:rPr>
                <w:rFonts w:hint="eastAsia" w:ascii="仿宋_GB2312" w:hAnsi="黑体" w:eastAsia="仿宋_GB2312" w:cs="Times New Roman"/>
                <w:kern w:val="0"/>
                <w:szCs w:val="21"/>
              </w:rPr>
              <w:t>2.</w:t>
            </w:r>
            <w:bookmarkStart w:id="6" w:name="_Hlk66975392"/>
            <w:r>
              <w:rPr>
                <w:rFonts w:hint="eastAsia" w:ascii="仿宋_GB2312" w:hAnsi="黑体" w:eastAsia="仿宋_GB2312" w:cs="Times New Roman"/>
                <w:kern w:val="0"/>
                <w:szCs w:val="21"/>
              </w:rPr>
              <w:t>没有现成信息需要另行制作</w:t>
            </w:r>
            <w:bookmarkEnd w:id="6"/>
          </w:p>
        </w:tc>
        <w:tc>
          <w:tcPr>
            <w:tcW w:w="747"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s="Times New Roman"/>
                <w:szCs w:val="21"/>
              </w:rPr>
            </w:pPr>
          </w:p>
        </w:tc>
        <w:tc>
          <w:tcPr>
            <w:tcW w:w="1701" w:type="dxa"/>
            <w:vMerge w:val="continue"/>
            <w:shd w:val="clear" w:color="auto" w:fill="auto"/>
            <w:tcMar>
              <w:left w:w="108" w:type="dxa"/>
              <w:right w:w="108" w:type="dxa"/>
            </w:tcMar>
            <w:vAlign w:val="center"/>
          </w:tcPr>
          <w:p>
            <w:pPr>
              <w:spacing w:line="200" w:lineRule="exact"/>
              <w:ind w:left="-101" w:leftChars="-51"/>
              <w:rPr>
                <w:rFonts w:ascii="黑体" w:hAnsi="黑体"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s="Times New Roman"/>
                <w:kern w:val="0"/>
                <w:szCs w:val="21"/>
              </w:rPr>
            </w:pPr>
            <w:r>
              <w:rPr>
                <w:rFonts w:hint="eastAsia" w:ascii="仿宋_GB2312" w:hAnsi="黑体" w:eastAsia="仿宋_GB2312" w:cs="Times New Roman"/>
                <w:kern w:val="0"/>
                <w:szCs w:val="21"/>
              </w:rPr>
              <w:t>3.</w:t>
            </w:r>
            <w:bookmarkStart w:id="7" w:name="_Hlk66975466"/>
            <w:r>
              <w:rPr>
                <w:rFonts w:hint="eastAsia" w:ascii="仿宋_GB2312" w:hAnsi="黑体" w:eastAsia="仿宋_GB2312" w:cs="Times New Roman"/>
                <w:kern w:val="0"/>
                <w:szCs w:val="21"/>
              </w:rPr>
              <w:t>补正后申请内容仍不明确</w:t>
            </w:r>
            <w:bookmarkEnd w:id="7"/>
          </w:p>
        </w:tc>
        <w:tc>
          <w:tcPr>
            <w:tcW w:w="747"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s="Times New Roman"/>
                <w:szCs w:val="21"/>
              </w:rPr>
            </w:pPr>
          </w:p>
        </w:tc>
        <w:tc>
          <w:tcPr>
            <w:tcW w:w="1701" w:type="dxa"/>
            <w:vMerge w:val="restart"/>
            <w:shd w:val="clear" w:color="auto" w:fill="auto"/>
            <w:tcMar>
              <w:left w:w="108" w:type="dxa"/>
              <w:right w:w="108" w:type="dxa"/>
            </w:tcMar>
            <w:vAlign w:val="center"/>
          </w:tcPr>
          <w:p>
            <w:pPr>
              <w:widowControl/>
              <w:spacing w:line="200" w:lineRule="exact"/>
              <w:ind w:left="-101" w:leftChars="-51"/>
              <w:rPr>
                <w:rFonts w:ascii="黑体" w:hAnsi="黑体" w:eastAsia="黑体" w:cs="Times New Roman"/>
                <w:szCs w:val="21"/>
              </w:rPr>
            </w:pPr>
            <w:r>
              <w:rPr>
                <w:rFonts w:hint="eastAsia" w:ascii="黑体" w:hAnsi="黑体" w:eastAsia="黑体" w:cs="Times New Roman"/>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s="Times New Roman"/>
                <w:kern w:val="0"/>
                <w:szCs w:val="21"/>
              </w:rPr>
            </w:pPr>
            <w:r>
              <w:rPr>
                <w:rFonts w:hint="eastAsia" w:ascii="仿宋_GB2312" w:hAnsi="黑体" w:eastAsia="仿宋_GB2312" w:cs="Times New Roman"/>
                <w:kern w:val="0"/>
                <w:szCs w:val="21"/>
              </w:rPr>
              <w:t>1.</w:t>
            </w:r>
            <w:bookmarkStart w:id="8" w:name="_Hlk66975537"/>
            <w:r>
              <w:rPr>
                <w:rFonts w:hint="eastAsia" w:ascii="仿宋_GB2312" w:hAnsi="黑体" w:eastAsia="仿宋_GB2312" w:cs="Times New Roman"/>
                <w:kern w:val="0"/>
                <w:szCs w:val="21"/>
              </w:rPr>
              <w:t>信访举报投诉类申请</w:t>
            </w:r>
            <w:bookmarkEnd w:id="8"/>
          </w:p>
        </w:tc>
        <w:tc>
          <w:tcPr>
            <w:tcW w:w="747"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s="Times New Roman"/>
                <w:kern w:val="0"/>
                <w:szCs w:val="21"/>
              </w:rPr>
            </w:pPr>
            <w:r>
              <w:rPr>
                <w:rFonts w:hint="eastAsia" w:ascii="仿宋_GB2312" w:hAnsi="黑体" w:eastAsia="仿宋_GB2312" w:cs="Times New Roman"/>
                <w:kern w:val="0"/>
                <w:szCs w:val="21"/>
              </w:rPr>
              <w:t>2.重复申请</w:t>
            </w:r>
          </w:p>
        </w:tc>
        <w:tc>
          <w:tcPr>
            <w:tcW w:w="747"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s="Times New Roman"/>
                <w:szCs w:val="21"/>
              </w:rPr>
            </w:pPr>
            <w:r>
              <w:rPr>
                <w:rFonts w:hint="eastAsia" w:ascii="仿宋_GB2312" w:hAnsi="黑体" w:eastAsia="仿宋_GB2312" w:cs="Times New Roman"/>
                <w:kern w:val="0"/>
                <w:szCs w:val="21"/>
              </w:rPr>
              <w:t>3.要求提供公开出版物</w:t>
            </w:r>
          </w:p>
        </w:tc>
        <w:tc>
          <w:tcPr>
            <w:tcW w:w="747"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s="Times New Roman"/>
                <w:szCs w:val="21"/>
              </w:rPr>
            </w:pPr>
            <w:r>
              <w:rPr>
                <w:rFonts w:hint="eastAsia" w:ascii="仿宋_GB2312" w:hAnsi="黑体" w:eastAsia="仿宋_GB2312" w:cs="Times New Roman"/>
                <w:kern w:val="0"/>
                <w:szCs w:val="21"/>
              </w:rPr>
              <w:t>4.无正当理由大量反复申请</w:t>
            </w:r>
          </w:p>
        </w:tc>
        <w:tc>
          <w:tcPr>
            <w:tcW w:w="747"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s="Times New Roman"/>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cs="Times New Roman"/>
                <w:szCs w:val="21"/>
              </w:rPr>
            </w:pPr>
            <w:r>
              <w:rPr>
                <w:rFonts w:hint="eastAsia" w:ascii="仿宋_GB2312" w:hAnsi="黑体" w:eastAsia="仿宋_GB2312" w:cs="Times New Roman"/>
                <w:kern w:val="0"/>
                <w:szCs w:val="21"/>
              </w:rPr>
              <w:t>5.要求行政机关确认或重新出具已获取信息</w:t>
            </w:r>
          </w:p>
        </w:tc>
        <w:tc>
          <w:tcPr>
            <w:tcW w:w="747"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s="Times New Roman"/>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cs="Times New Roman"/>
                <w:kern w:val="0"/>
                <w:szCs w:val="21"/>
              </w:rPr>
            </w:pPr>
            <w:r>
              <w:rPr>
                <w:rFonts w:hint="eastAsia" w:ascii="黑体" w:hAnsi="黑体" w:eastAsia="黑体" w:cs="Times New Roman"/>
                <w:kern w:val="0"/>
                <w:szCs w:val="21"/>
              </w:rPr>
              <w:t>（六）其他处理</w:t>
            </w:r>
          </w:p>
        </w:tc>
        <w:tc>
          <w:tcPr>
            <w:tcW w:w="2976" w:type="dxa"/>
            <w:shd w:val="clear" w:color="auto" w:fill="auto"/>
            <w:vAlign w:val="center"/>
          </w:tcPr>
          <w:p>
            <w:pPr>
              <w:widowControl/>
              <w:spacing w:line="300" w:lineRule="exact"/>
              <w:rPr>
                <w:rFonts w:ascii="仿宋_GB2312" w:hAnsi="楷体" w:eastAsia="仿宋_GB2312" w:cs="Times New Roman"/>
                <w:szCs w:val="20"/>
              </w:rPr>
            </w:pPr>
            <w:r>
              <w:rPr>
                <w:rFonts w:hint="eastAsia" w:ascii="仿宋_GB2312" w:hAnsi="楷体" w:eastAsia="仿宋_GB2312" w:cs="Times New Roman"/>
                <w:szCs w:val="20"/>
              </w:rPr>
              <w:t>1.申请人无正当理由逾期不补正、行政机关不再处理其政府信息公开申请</w:t>
            </w:r>
          </w:p>
        </w:tc>
        <w:tc>
          <w:tcPr>
            <w:tcW w:w="747"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s="Times New Roman"/>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cs="Times New Roman"/>
                <w:kern w:val="0"/>
                <w:szCs w:val="21"/>
              </w:rPr>
            </w:pPr>
          </w:p>
        </w:tc>
        <w:tc>
          <w:tcPr>
            <w:tcW w:w="2976" w:type="dxa"/>
            <w:shd w:val="clear" w:color="auto" w:fill="auto"/>
            <w:vAlign w:val="center"/>
          </w:tcPr>
          <w:p>
            <w:pPr>
              <w:widowControl/>
              <w:spacing w:line="300" w:lineRule="exact"/>
              <w:rPr>
                <w:rFonts w:ascii="仿宋_GB2312" w:hAnsi="黑体" w:eastAsia="仿宋_GB2312" w:cs="Times New Roman"/>
                <w:kern w:val="0"/>
                <w:szCs w:val="21"/>
              </w:rPr>
            </w:pPr>
            <w:r>
              <w:rPr>
                <w:rFonts w:hint="eastAsia" w:ascii="仿宋_GB2312" w:hAnsi="楷体" w:eastAsia="仿宋_GB2312" w:cs="Times New Roman"/>
                <w:szCs w:val="20"/>
              </w:rPr>
              <w:t>2.申请人逾期未按收费通知要求缴纳费用、行政机关不再处理其政府信息公开申请</w:t>
            </w:r>
          </w:p>
        </w:tc>
        <w:tc>
          <w:tcPr>
            <w:tcW w:w="747"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s="Times New Roman"/>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cs="Times New Roman"/>
                <w:kern w:val="0"/>
                <w:szCs w:val="21"/>
              </w:rPr>
            </w:pPr>
          </w:p>
        </w:tc>
        <w:tc>
          <w:tcPr>
            <w:tcW w:w="2976" w:type="dxa"/>
            <w:shd w:val="clear" w:color="auto" w:fill="auto"/>
            <w:vAlign w:val="center"/>
          </w:tcPr>
          <w:p>
            <w:pPr>
              <w:widowControl/>
              <w:spacing w:line="300" w:lineRule="exact"/>
              <w:rPr>
                <w:rFonts w:ascii="仿宋_GB2312" w:hAnsi="黑体" w:eastAsia="仿宋_GB2312" w:cs="Times New Roman"/>
                <w:kern w:val="0"/>
                <w:szCs w:val="21"/>
              </w:rPr>
            </w:pPr>
            <w:r>
              <w:rPr>
                <w:rFonts w:hint="eastAsia" w:ascii="仿宋_GB2312" w:hAnsi="楷体" w:eastAsia="仿宋_GB2312" w:cs="Times New Roman"/>
                <w:szCs w:val="20"/>
              </w:rPr>
              <w:t>3.其他</w:t>
            </w:r>
          </w:p>
        </w:tc>
        <w:tc>
          <w:tcPr>
            <w:tcW w:w="747"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s="Times New Roman"/>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cs="Times New Roman"/>
                <w:kern w:val="0"/>
                <w:szCs w:val="21"/>
              </w:rPr>
            </w:pPr>
            <w:r>
              <w:rPr>
                <w:rFonts w:hint="eastAsia" w:ascii="黑体" w:hAnsi="黑体" w:eastAsia="黑体" w:cs="Times New Roman"/>
                <w:kern w:val="0"/>
                <w:szCs w:val="21"/>
              </w:rPr>
              <w:t>（七）总计</w:t>
            </w:r>
          </w:p>
        </w:tc>
        <w:tc>
          <w:tcPr>
            <w:tcW w:w="747"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cs="Times New Roman"/>
                <w:kern w:val="0"/>
                <w:szCs w:val="21"/>
              </w:rPr>
            </w:pPr>
            <w:r>
              <w:rPr>
                <w:rFonts w:hint="eastAsia" w:ascii="黑体" w:hAnsi="黑体" w:eastAsia="黑体" w:cs="Times New Roman"/>
                <w:kern w:val="0"/>
                <w:szCs w:val="21"/>
              </w:rPr>
              <w:t>四、结转下年度继续办理</w:t>
            </w:r>
          </w:p>
        </w:tc>
        <w:tc>
          <w:tcPr>
            <w:tcW w:w="747"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w:t>
            </w:r>
          </w:p>
        </w:tc>
      </w:tr>
    </w:tbl>
    <w:p>
      <w:pPr>
        <w:widowControl/>
        <w:jc w:val="left"/>
        <w:rPr>
          <w:rFonts w:ascii="仿宋_GB2312" w:hAnsi="Calibri" w:eastAsia="仿宋_GB2312" w:cs="Calibri"/>
          <w:color w:val="FF0000"/>
          <w:kern w:val="0"/>
          <w:szCs w:val="21"/>
        </w:rPr>
      </w:pPr>
    </w:p>
    <w:p>
      <w:pPr>
        <w:rPr>
          <w:rFonts w:ascii="仿宋_GB2312" w:hAnsi="Times New Roman" w:eastAsia="仿宋_GB2312" w:cs="Times New Roman"/>
          <w:sz w:val="32"/>
          <w:szCs w:val="32"/>
        </w:rPr>
      </w:pPr>
      <w:r>
        <w:rPr>
          <w:rFonts w:hint="eastAsia" w:ascii="黑体" w:hAnsi="黑体" w:eastAsia="黑体" w:cs="黑体"/>
          <w:bCs/>
          <w:color w:val="333333"/>
          <w:kern w:val="0"/>
          <w:sz w:val="32"/>
          <w:szCs w:val="32"/>
          <w:shd w:val="clear" w:color="auto" w:fill="FFFFFF"/>
          <w:lang w:bidi="ar"/>
        </w:rPr>
        <w:t>四、政府信息公开行政复议、行政诉讼情况</w:t>
      </w:r>
    </w:p>
    <w:tbl>
      <w:tblPr>
        <w:tblStyle w:val="2"/>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s="Times New Roman"/>
                <w:szCs w:val="20"/>
              </w:rPr>
            </w:pPr>
            <w:r>
              <w:rPr>
                <w:rFonts w:ascii="黑体" w:hAnsi="黑体" w:eastAsia="黑体" w:cs="Times New Roman"/>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s="Times New Roman"/>
                <w:szCs w:val="20"/>
              </w:rPr>
            </w:pPr>
            <w:r>
              <w:rPr>
                <w:rFonts w:ascii="黑体" w:hAnsi="黑体" w:eastAsia="黑体" w:cs="Times New Roman"/>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1" w:leftChars="-71" w:right="-161" w:rightChars="-81"/>
              <w:jc w:val="center"/>
              <w:rPr>
                <w:rFonts w:ascii="黑体" w:hAnsi="黑体" w:eastAsia="黑体" w:cs="Times New Roman"/>
                <w:kern w:val="0"/>
                <w:sz w:val="20"/>
                <w:szCs w:val="20"/>
              </w:rPr>
            </w:pPr>
            <w:r>
              <w:rPr>
                <w:rFonts w:ascii="黑体" w:hAnsi="黑体" w:eastAsia="黑体" w:cs="Times New Roman"/>
                <w:kern w:val="0"/>
                <w:sz w:val="20"/>
                <w:szCs w:val="20"/>
              </w:rPr>
              <w:t>结果</w:t>
            </w:r>
          </w:p>
          <w:p>
            <w:pPr>
              <w:widowControl/>
              <w:ind w:left="-141" w:leftChars="-71" w:right="-161" w:rightChars="-81"/>
              <w:jc w:val="center"/>
              <w:rPr>
                <w:rFonts w:ascii="黑体" w:hAnsi="黑体" w:eastAsia="黑体" w:cs="Times New Roman"/>
                <w:szCs w:val="20"/>
              </w:rPr>
            </w:pPr>
            <w:r>
              <w:rPr>
                <w:rFonts w:ascii="黑体" w:hAnsi="黑体" w:eastAsia="黑体" w:cs="Times New Roman"/>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0" w:leftChars="-21" w:right="-125" w:rightChars="-63" w:hanging="1"/>
              <w:jc w:val="center"/>
              <w:rPr>
                <w:rFonts w:ascii="黑体" w:hAnsi="黑体" w:eastAsia="黑体" w:cs="Times New Roman"/>
                <w:szCs w:val="20"/>
              </w:rPr>
            </w:pPr>
            <w:r>
              <w:rPr>
                <w:rFonts w:ascii="黑体" w:hAnsi="黑体" w:eastAsia="黑体" w:cs="Times New Roman"/>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77" w:leftChars="-39" w:right="-91" w:rightChars="-46"/>
              <w:jc w:val="center"/>
              <w:rPr>
                <w:rFonts w:ascii="黑体" w:hAnsi="黑体" w:eastAsia="黑体" w:cs="Times New Roman"/>
                <w:szCs w:val="20"/>
              </w:rPr>
            </w:pPr>
            <w:r>
              <w:rPr>
                <w:rFonts w:ascii="黑体" w:hAnsi="黑体" w:eastAsia="黑体" w:cs="Times New Roman"/>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1" w:leftChars="-56" w:right="-111" w:rightChars="-56"/>
              <w:jc w:val="center"/>
              <w:rPr>
                <w:rFonts w:ascii="黑体" w:hAnsi="黑体" w:eastAsia="黑体" w:cs="Times New Roman"/>
                <w:kern w:val="0"/>
                <w:sz w:val="20"/>
                <w:szCs w:val="20"/>
              </w:rPr>
            </w:pPr>
            <w:r>
              <w:rPr>
                <w:rFonts w:ascii="黑体" w:hAnsi="黑体" w:eastAsia="黑体" w:cs="Times New Roman"/>
                <w:kern w:val="0"/>
                <w:sz w:val="20"/>
                <w:szCs w:val="20"/>
              </w:rPr>
              <w:t>尚未</w:t>
            </w:r>
          </w:p>
          <w:p>
            <w:pPr>
              <w:widowControl/>
              <w:ind w:left="-111" w:leftChars="-56" w:right="-111" w:rightChars="-56"/>
              <w:jc w:val="center"/>
              <w:rPr>
                <w:rFonts w:ascii="黑体" w:hAnsi="黑体" w:eastAsia="黑体" w:cs="Times New Roman"/>
                <w:szCs w:val="20"/>
              </w:rPr>
            </w:pPr>
            <w:r>
              <w:rPr>
                <w:rFonts w:ascii="黑体" w:hAnsi="黑体" w:eastAsia="黑体" w:cs="Times New Roman"/>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cs="Times New Roman"/>
                <w:kern w:val="0"/>
                <w:sz w:val="20"/>
                <w:szCs w:val="20"/>
              </w:rPr>
            </w:pPr>
            <w:r>
              <w:rPr>
                <w:rFonts w:ascii="黑体" w:hAnsi="黑体" w:eastAsia="黑体" w:cs="Times New Roman"/>
                <w:kern w:val="0"/>
                <w:sz w:val="20"/>
                <w:szCs w:val="20"/>
              </w:rPr>
              <w:t>总</w:t>
            </w:r>
          </w:p>
          <w:p>
            <w:pPr>
              <w:widowControl/>
              <w:spacing w:line="320" w:lineRule="exact"/>
              <w:jc w:val="center"/>
              <w:rPr>
                <w:rFonts w:ascii="黑体" w:hAnsi="黑体" w:eastAsia="黑体" w:cs="Times New Roman"/>
                <w:szCs w:val="20"/>
              </w:rPr>
            </w:pPr>
            <w:r>
              <w:rPr>
                <w:rFonts w:ascii="黑体" w:hAnsi="黑体" w:eastAsia="黑体" w:cs="Times New Roman"/>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s="Times New Roman"/>
                <w:szCs w:val="20"/>
              </w:rPr>
            </w:pPr>
            <w:r>
              <w:rPr>
                <w:rFonts w:ascii="黑体" w:hAnsi="黑体" w:eastAsia="黑体" w:cs="Times New Roman"/>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s="Times New Roman"/>
                <w:szCs w:val="20"/>
              </w:rPr>
            </w:pPr>
            <w:bookmarkStart w:id="9" w:name="_Hlk67039688"/>
            <w:r>
              <w:rPr>
                <w:rFonts w:ascii="黑体" w:hAnsi="黑体" w:eastAsia="黑体" w:cs="Times New Roman"/>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cs="Times New Roman"/>
                <w:sz w:val="24"/>
                <w:szCs w:val="20"/>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cs="Times New Roman"/>
                <w:sz w:val="24"/>
                <w:szCs w:val="20"/>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cs="Times New Roman"/>
                <w:sz w:val="24"/>
                <w:szCs w:val="20"/>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cs="Times New Roman"/>
                <w:sz w:val="24"/>
                <w:szCs w:val="20"/>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cs="Times New Roman"/>
                <w:sz w:val="24"/>
                <w:szCs w:val="20"/>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99" w:leftChars="-50" w:right="-119" w:rightChars="-60"/>
              <w:jc w:val="center"/>
              <w:rPr>
                <w:rFonts w:ascii="黑体" w:hAnsi="黑体" w:eastAsia="黑体" w:cs="Times New Roman"/>
                <w:szCs w:val="20"/>
              </w:rPr>
            </w:pPr>
            <w:r>
              <w:rPr>
                <w:rFonts w:ascii="黑体" w:hAnsi="黑体" w:eastAsia="黑体" w:cs="Times New Roman"/>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1" w:leftChars="-41" w:right="-83" w:rightChars="-42"/>
              <w:jc w:val="center"/>
              <w:rPr>
                <w:rFonts w:ascii="黑体" w:hAnsi="黑体" w:eastAsia="黑体" w:cs="Times New Roman"/>
                <w:szCs w:val="20"/>
              </w:rPr>
            </w:pPr>
            <w:r>
              <w:rPr>
                <w:rFonts w:ascii="黑体" w:hAnsi="黑体" w:eastAsia="黑体" w:cs="Times New Roman"/>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9" w:leftChars="-60" w:right="-129" w:rightChars="-65"/>
              <w:jc w:val="center"/>
              <w:rPr>
                <w:rFonts w:ascii="黑体" w:hAnsi="黑体" w:eastAsia="黑体" w:cs="Times New Roman"/>
                <w:kern w:val="0"/>
                <w:sz w:val="20"/>
                <w:szCs w:val="20"/>
              </w:rPr>
            </w:pPr>
            <w:r>
              <w:rPr>
                <w:rFonts w:ascii="黑体" w:hAnsi="黑体" w:eastAsia="黑体" w:cs="Times New Roman"/>
                <w:kern w:val="0"/>
                <w:sz w:val="20"/>
                <w:szCs w:val="20"/>
              </w:rPr>
              <w:t>其他</w:t>
            </w:r>
          </w:p>
          <w:p>
            <w:pPr>
              <w:widowControl/>
              <w:ind w:left="-119" w:leftChars="-60" w:right="-129" w:rightChars="-65"/>
              <w:jc w:val="center"/>
              <w:rPr>
                <w:rFonts w:ascii="黑体" w:hAnsi="黑体" w:eastAsia="黑体" w:cs="Times New Roman"/>
                <w:szCs w:val="20"/>
              </w:rPr>
            </w:pPr>
            <w:r>
              <w:rPr>
                <w:rFonts w:ascii="黑体" w:hAnsi="黑体" w:eastAsia="黑体" w:cs="Times New Roman"/>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55" w:leftChars="-78" w:right="-145" w:rightChars="-73"/>
              <w:jc w:val="center"/>
              <w:rPr>
                <w:rFonts w:ascii="黑体" w:hAnsi="黑体" w:eastAsia="黑体" w:cs="Times New Roman"/>
                <w:kern w:val="0"/>
                <w:sz w:val="20"/>
                <w:szCs w:val="20"/>
              </w:rPr>
            </w:pPr>
            <w:r>
              <w:rPr>
                <w:rFonts w:ascii="黑体" w:hAnsi="黑体" w:eastAsia="黑体" w:cs="Times New Roman"/>
                <w:kern w:val="0"/>
                <w:sz w:val="20"/>
                <w:szCs w:val="20"/>
              </w:rPr>
              <w:t>尚未</w:t>
            </w:r>
          </w:p>
          <w:p>
            <w:pPr>
              <w:widowControl/>
              <w:ind w:left="-155" w:leftChars="-78" w:right="-145" w:rightChars="-73"/>
              <w:jc w:val="center"/>
              <w:rPr>
                <w:rFonts w:ascii="黑体" w:hAnsi="黑体" w:eastAsia="黑体" w:cs="Times New Roman"/>
                <w:szCs w:val="20"/>
              </w:rPr>
            </w:pPr>
            <w:r>
              <w:rPr>
                <w:rFonts w:ascii="黑体" w:hAnsi="黑体" w:eastAsia="黑体" w:cs="Times New Roman"/>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s="Times New Roman"/>
                <w:szCs w:val="20"/>
              </w:rPr>
            </w:pPr>
            <w:r>
              <w:rPr>
                <w:rFonts w:ascii="黑体" w:hAnsi="黑体" w:eastAsia="黑体" w:cs="Times New Roman"/>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3" w:leftChars="-47" w:right="-73" w:rightChars="-37"/>
              <w:jc w:val="center"/>
              <w:rPr>
                <w:rFonts w:ascii="黑体" w:hAnsi="黑体" w:eastAsia="黑体" w:cs="Times New Roman"/>
                <w:szCs w:val="20"/>
              </w:rPr>
            </w:pPr>
            <w:r>
              <w:rPr>
                <w:rFonts w:ascii="黑体" w:hAnsi="黑体" w:eastAsia="黑体" w:cs="Times New Roman"/>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9" w:leftChars="-65" w:right="-117" w:rightChars="-59"/>
              <w:jc w:val="center"/>
              <w:rPr>
                <w:rFonts w:ascii="黑体" w:hAnsi="黑体" w:eastAsia="黑体" w:cs="Times New Roman"/>
                <w:kern w:val="0"/>
                <w:sz w:val="20"/>
                <w:szCs w:val="20"/>
              </w:rPr>
            </w:pPr>
            <w:r>
              <w:rPr>
                <w:rFonts w:ascii="黑体" w:hAnsi="黑体" w:eastAsia="黑体" w:cs="Times New Roman"/>
                <w:kern w:val="0"/>
                <w:sz w:val="20"/>
                <w:szCs w:val="20"/>
              </w:rPr>
              <w:t>结果</w:t>
            </w:r>
          </w:p>
          <w:p>
            <w:pPr>
              <w:widowControl/>
              <w:ind w:left="-129" w:leftChars="-65" w:right="-117" w:rightChars="-59"/>
              <w:jc w:val="center"/>
              <w:rPr>
                <w:rFonts w:ascii="黑体" w:hAnsi="黑体" w:eastAsia="黑体" w:cs="Times New Roman"/>
                <w:szCs w:val="20"/>
              </w:rPr>
            </w:pPr>
            <w:r>
              <w:rPr>
                <w:rFonts w:ascii="黑体" w:hAnsi="黑体" w:eastAsia="黑体" w:cs="Times New Roman"/>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83" w:right="-127" w:rightChars="-64" w:hanging="1"/>
              <w:jc w:val="center"/>
              <w:rPr>
                <w:rFonts w:ascii="黑体" w:hAnsi="黑体" w:eastAsia="黑体" w:cs="Times New Roman"/>
                <w:kern w:val="0"/>
                <w:sz w:val="20"/>
                <w:szCs w:val="20"/>
              </w:rPr>
            </w:pPr>
            <w:r>
              <w:rPr>
                <w:rFonts w:ascii="黑体" w:hAnsi="黑体" w:eastAsia="黑体" w:cs="Times New Roman"/>
                <w:kern w:val="0"/>
                <w:sz w:val="20"/>
                <w:szCs w:val="20"/>
              </w:rPr>
              <w:t>其他</w:t>
            </w:r>
          </w:p>
          <w:p>
            <w:pPr>
              <w:widowControl/>
              <w:ind w:left="-164" w:leftChars="-83" w:right="-127" w:rightChars="-64" w:hanging="1"/>
              <w:jc w:val="center"/>
              <w:rPr>
                <w:rFonts w:ascii="黑体" w:hAnsi="黑体" w:eastAsia="黑体" w:cs="Times New Roman"/>
                <w:szCs w:val="20"/>
              </w:rPr>
            </w:pPr>
            <w:r>
              <w:rPr>
                <w:rFonts w:ascii="黑体" w:hAnsi="黑体" w:eastAsia="黑体" w:cs="Times New Roman"/>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3" w:leftChars="-33" w:right="-99" w:rightChars="-50" w:hanging="2" w:hangingChars="1"/>
              <w:jc w:val="center"/>
              <w:rPr>
                <w:rFonts w:ascii="黑体" w:hAnsi="黑体" w:eastAsia="黑体" w:cs="Times New Roman"/>
                <w:szCs w:val="20"/>
              </w:rPr>
            </w:pPr>
            <w:r>
              <w:rPr>
                <w:rFonts w:ascii="黑体" w:hAnsi="黑体" w:eastAsia="黑体" w:cs="Times New Roman"/>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s="Times New Roman"/>
                <w:szCs w:val="20"/>
              </w:rPr>
            </w:pPr>
            <w:r>
              <w:rPr>
                <w:rFonts w:ascii="黑体" w:hAnsi="黑体" w:eastAsia="黑体" w:cs="Times New Roman"/>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eastAsia="宋体" w:cs="Times New Roman"/>
                <w:szCs w:val="20"/>
              </w:rPr>
            </w:pPr>
            <w:r>
              <w:rPr>
                <w:rFonts w:hint="eastAsia" w:ascii="Times New Roman" w:hAnsi="Times New Roman" w:eastAsia="宋体" w:cs="Times New Roman"/>
                <w:szCs w:val="20"/>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eastAsia="宋体" w:cs="Times New Roman"/>
                <w:szCs w:val="20"/>
              </w:rPr>
            </w:pPr>
            <w:r>
              <w:rPr>
                <w:rFonts w:hint="eastAsia" w:ascii="Times New Roman" w:hAnsi="Times New Roman" w:eastAsia="宋体" w:cs="Times New Roman"/>
                <w:szCs w:val="20"/>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eastAsia="宋体" w:cs="Times New Roman"/>
                <w:szCs w:val="20"/>
              </w:rPr>
            </w:pPr>
            <w:r>
              <w:rPr>
                <w:rFonts w:hint="eastAsia" w:ascii="Times New Roman" w:hAnsi="Times New Roman" w:eastAsia="宋体" w:cs="Times New Roman"/>
                <w:szCs w:val="20"/>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eastAsia="宋体" w:cs="Times New Roman"/>
                <w:szCs w:val="20"/>
              </w:rPr>
            </w:pPr>
            <w:r>
              <w:rPr>
                <w:rFonts w:hint="eastAsia" w:ascii="Times New Roman" w:hAnsi="Times New Roman" w:eastAsia="宋体" w:cs="Times New Roman"/>
                <w:szCs w:val="20"/>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eastAsia="宋体" w:cs="Times New Roman"/>
                <w:szCs w:val="20"/>
              </w:rPr>
            </w:pPr>
            <w:r>
              <w:rPr>
                <w:rFonts w:hint="eastAsia" w:ascii="Times New Roman" w:hAnsi="Times New Roman" w:eastAsia="宋体" w:cs="Times New Roman"/>
                <w:szCs w:val="20"/>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eastAsia="宋体" w:cs="Times New Roman"/>
                <w:szCs w:val="20"/>
              </w:rPr>
            </w:pPr>
            <w:r>
              <w:rPr>
                <w:rFonts w:hint="eastAsia" w:ascii="Times New Roman" w:hAnsi="Times New Roman" w:eastAsia="宋体" w:cs="Times New Roman"/>
                <w:szCs w:val="20"/>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eastAsia="宋体" w:cs="Times New Roman"/>
                <w:szCs w:val="20"/>
              </w:rPr>
            </w:pPr>
            <w:r>
              <w:rPr>
                <w:rFonts w:hint="eastAsia" w:ascii="Times New Roman" w:hAnsi="Times New Roman" w:eastAsia="宋体" w:cs="Times New Roman"/>
                <w:szCs w:val="20"/>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eastAsia="宋体" w:cs="Times New Roman"/>
                <w:szCs w:val="20"/>
              </w:rPr>
            </w:pPr>
            <w:r>
              <w:rPr>
                <w:rFonts w:hint="eastAsia" w:ascii="Times New Roman" w:hAnsi="Times New Roman" w:eastAsia="宋体" w:cs="Times New Roman"/>
                <w:szCs w:val="20"/>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eastAsia="宋体" w:cs="Times New Roman"/>
                <w:szCs w:val="20"/>
              </w:rPr>
            </w:pPr>
            <w:r>
              <w:rPr>
                <w:rFonts w:hint="eastAsia" w:ascii="Times New Roman" w:hAnsi="Times New Roman" w:eastAsia="宋体" w:cs="Times New Roman"/>
                <w:szCs w:val="20"/>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eastAsia="宋体" w:cs="Times New Roman"/>
                <w:szCs w:val="20"/>
              </w:rPr>
            </w:pPr>
            <w:r>
              <w:rPr>
                <w:rFonts w:hint="eastAsia" w:ascii="Times New Roman" w:hAnsi="Times New Roman" w:eastAsia="宋体" w:cs="Times New Roman"/>
                <w:szCs w:val="20"/>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rPr>
                <w:rFonts w:ascii="Times New Roman" w:hAnsi="Times New Roman" w:eastAsia="宋体" w:cs="Times New Roman"/>
                <w:szCs w:val="20"/>
              </w:rPr>
            </w:pPr>
            <w:r>
              <w:rPr>
                <w:rFonts w:hint="eastAsia" w:ascii="Times New Roman" w:hAnsi="Times New Roman" w:eastAsia="宋体" w:cs="Times New Roman"/>
                <w:szCs w:val="20"/>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eastAsia="宋体" w:cs="Times New Roman"/>
                <w:szCs w:val="20"/>
              </w:rPr>
            </w:pPr>
            <w:r>
              <w:rPr>
                <w:rFonts w:hint="eastAsia" w:ascii="Times New Roman" w:hAnsi="Times New Roman" w:eastAsia="宋体" w:cs="Times New Roman"/>
                <w:szCs w:val="20"/>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eastAsia="宋体" w:cs="Times New Roman"/>
                <w:szCs w:val="20"/>
              </w:rPr>
            </w:pPr>
            <w:r>
              <w:rPr>
                <w:rFonts w:hint="eastAsia" w:ascii="Times New Roman" w:hAnsi="Times New Roman" w:eastAsia="宋体" w:cs="Times New Roman"/>
                <w:szCs w:val="20"/>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eastAsia="宋体" w:cs="Times New Roman"/>
                <w:szCs w:val="20"/>
              </w:rPr>
            </w:pPr>
            <w:r>
              <w:rPr>
                <w:rFonts w:hint="eastAsia" w:ascii="Times New Roman" w:hAnsi="Times New Roman" w:eastAsia="宋体" w:cs="Times New Roman"/>
                <w:szCs w:val="20"/>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eastAsia="宋体" w:cs="Times New Roman"/>
                <w:szCs w:val="20"/>
              </w:rPr>
            </w:pPr>
            <w:r>
              <w:rPr>
                <w:rFonts w:hint="eastAsia" w:ascii="Times New Roman" w:hAnsi="Times New Roman" w:eastAsia="宋体" w:cs="Times New Roman"/>
                <w:szCs w:val="20"/>
              </w:rPr>
              <w:t>0</w:t>
            </w:r>
          </w:p>
        </w:tc>
      </w:tr>
    </w:tbl>
    <w:p>
      <w:pPr>
        <w:widowControl/>
        <w:jc w:val="left"/>
        <w:rPr>
          <w:rFonts w:ascii="仿宋_GB2312" w:hAnsi="Calibri" w:eastAsia="仿宋_GB2312" w:cs="Calibri"/>
          <w:color w:val="FF0000"/>
          <w:kern w:val="0"/>
          <w:szCs w:val="21"/>
        </w:rPr>
      </w:pPr>
    </w:p>
    <w:p>
      <w:pPr>
        <w:widowControl/>
        <w:shd w:val="clear" w:color="auto" w:fill="FFFFFF"/>
        <w:spacing w:line="560" w:lineRule="exact"/>
        <w:ind w:firstLine="618" w:firstLineChars="200"/>
        <w:rPr>
          <w:rFonts w:ascii="黑体" w:hAnsi="黑体" w:eastAsia="黑体" w:cs="黑体"/>
          <w:bCs/>
          <w:color w:val="333333"/>
          <w:kern w:val="0"/>
          <w:sz w:val="32"/>
          <w:szCs w:val="32"/>
          <w:shd w:val="clear" w:color="auto" w:fill="FFFFFF"/>
          <w:lang w:bidi="ar"/>
        </w:rPr>
      </w:pPr>
      <w:r>
        <w:rPr>
          <w:rFonts w:hint="eastAsia" w:ascii="黑体" w:hAnsi="黑体" w:eastAsia="黑体" w:cs="黑体"/>
          <w:bCs/>
          <w:color w:val="333333"/>
          <w:kern w:val="0"/>
          <w:sz w:val="32"/>
          <w:szCs w:val="32"/>
          <w:shd w:val="clear" w:color="auto" w:fill="FFFFFF"/>
          <w:lang w:bidi="ar"/>
        </w:rPr>
        <w:t>五、存在的主要问题及改进情况</w:t>
      </w:r>
    </w:p>
    <w:p>
      <w:pPr>
        <w:widowControl/>
        <w:shd w:val="clear" w:color="auto" w:fill="FFFFFF"/>
        <w:spacing w:line="560" w:lineRule="exact"/>
        <w:ind w:firstLine="618"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2024年区统计局认真落实政务公开工作，虽取得一定成效，但是还存在着一定的问题。一是主动公开意识有待加强。二是对公开信息的解读水平有待提升。</w:t>
      </w:r>
    </w:p>
    <w:p>
      <w:pPr>
        <w:widowControl/>
        <w:shd w:val="clear" w:color="auto" w:fill="FFFFFF"/>
        <w:spacing w:line="560" w:lineRule="exact"/>
        <w:ind w:firstLine="618"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针对存在的主要问题，区统计局将采取措施进行改进。一方面，进一步加强教育培训，对有关工作人员进行专业培训，明确主动公开内容与范围，提升专业水平。另一方面，采取群众喜闻乐见的形式对相关政策进行解读，增强政策解读的直观性和易懂性，同时，借助政务新媒体等渠道，扩大解读的传播范围。</w:t>
      </w:r>
    </w:p>
    <w:p>
      <w:pPr>
        <w:widowControl/>
        <w:shd w:val="clear" w:color="auto" w:fill="FFFFFF"/>
        <w:spacing w:line="560" w:lineRule="exact"/>
        <w:ind w:firstLine="618" w:firstLineChars="200"/>
        <w:rPr>
          <w:rFonts w:ascii="黑体" w:hAnsi="黑体" w:eastAsia="黑体" w:cs="黑体"/>
          <w:bCs/>
          <w:color w:val="333333"/>
          <w:kern w:val="0"/>
          <w:sz w:val="32"/>
          <w:szCs w:val="32"/>
          <w:shd w:val="clear" w:color="auto" w:fill="FFFFFF"/>
          <w:lang w:bidi="ar"/>
        </w:rPr>
      </w:pPr>
      <w:r>
        <w:rPr>
          <w:rFonts w:hint="eastAsia" w:ascii="黑体" w:hAnsi="黑体" w:eastAsia="黑体" w:cs="黑体"/>
          <w:bCs/>
          <w:color w:val="333333"/>
          <w:kern w:val="0"/>
          <w:sz w:val="32"/>
          <w:szCs w:val="32"/>
          <w:shd w:val="clear" w:color="auto" w:fill="FFFFFF"/>
          <w:lang w:bidi="ar"/>
        </w:rPr>
        <w:t>六、其他需要报告的事项</w:t>
      </w:r>
    </w:p>
    <w:p>
      <w:pPr>
        <w:spacing w:line="560" w:lineRule="exact"/>
        <w:ind w:firstLine="618" w:firstLineChars="200"/>
        <w:rPr>
          <w:rFonts w:ascii="楷体_GB2312" w:hAnsi="仿宋_GB2312" w:eastAsia="楷体_GB2312" w:cs="仿宋_GB2312"/>
          <w:bCs/>
          <w:sz w:val="32"/>
          <w:szCs w:val="32"/>
        </w:rPr>
      </w:pPr>
      <w:r>
        <w:rPr>
          <w:rFonts w:hint="eastAsia" w:ascii="楷体_GB2312" w:hAnsi="仿宋_GB2312" w:eastAsia="楷体_GB2312" w:cs="仿宋_GB2312"/>
          <w:bCs/>
          <w:sz w:val="32"/>
          <w:szCs w:val="32"/>
        </w:rPr>
        <w:t>（一）收取信息处理费情况</w:t>
      </w:r>
    </w:p>
    <w:p>
      <w:pPr>
        <w:spacing w:line="560" w:lineRule="exact"/>
        <w:ind w:firstLine="618"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依据《政府信息公开信息处理费管理办法》，区统计局全年未收取信息公开处理费。</w:t>
      </w:r>
    </w:p>
    <w:p>
      <w:pPr>
        <w:spacing w:line="560" w:lineRule="exact"/>
        <w:ind w:firstLine="618" w:firstLineChars="200"/>
        <w:rPr>
          <w:rFonts w:ascii="楷体_GB2312" w:hAnsi="仿宋_GB2312" w:eastAsia="楷体_GB2312" w:cs="仿宋_GB2312"/>
          <w:bCs/>
          <w:sz w:val="32"/>
          <w:szCs w:val="32"/>
        </w:rPr>
      </w:pPr>
      <w:r>
        <w:rPr>
          <w:rFonts w:hint="eastAsia" w:ascii="楷体_GB2312" w:hAnsi="仿宋_GB2312" w:eastAsia="楷体_GB2312" w:cs="仿宋_GB2312"/>
          <w:bCs/>
          <w:sz w:val="32"/>
          <w:szCs w:val="32"/>
        </w:rPr>
        <w:t>（二）落实上级年度政务公开工作要点情况</w:t>
      </w:r>
    </w:p>
    <w:p>
      <w:pPr>
        <w:spacing w:line="560" w:lineRule="exact"/>
        <w:ind w:firstLine="618"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严格按照台儿庄区政务公开工作要点实施方案要求,结合单位工作实际,明确各科室职责分工,制定工作要点,有序推进政务公开工作。</w:t>
      </w:r>
    </w:p>
    <w:p>
      <w:pPr>
        <w:spacing w:line="560" w:lineRule="exact"/>
        <w:ind w:firstLine="618" w:firstLineChars="200"/>
        <w:rPr>
          <w:rFonts w:ascii="楷体_GB2312" w:hAnsi="仿宋_GB2312" w:eastAsia="楷体_GB2312" w:cs="仿宋_GB2312"/>
          <w:bCs/>
          <w:sz w:val="32"/>
          <w:szCs w:val="32"/>
        </w:rPr>
      </w:pPr>
      <w:r>
        <w:rPr>
          <w:rFonts w:hint="eastAsia" w:ascii="楷体_GB2312" w:hAnsi="仿宋_GB2312" w:eastAsia="楷体_GB2312" w:cs="仿宋_GB2312"/>
          <w:bCs/>
          <w:sz w:val="32"/>
          <w:szCs w:val="32"/>
        </w:rPr>
        <w:t>（三）人大代表建议和政协提案办理结果公开情况</w:t>
      </w:r>
    </w:p>
    <w:p>
      <w:pPr>
        <w:spacing w:line="560" w:lineRule="exact"/>
        <w:ind w:firstLine="618"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区统计局全年未收到人大代表建议和政协主办提案。</w:t>
      </w:r>
    </w:p>
    <w:p>
      <w:pPr>
        <w:spacing w:line="560" w:lineRule="exact"/>
        <w:ind w:firstLine="618" w:firstLineChars="200"/>
        <w:rPr>
          <w:rFonts w:ascii="楷体_GB2312" w:hAnsi="仿宋_GB2312" w:eastAsia="楷体_GB2312" w:cs="仿宋_GB2312"/>
          <w:bCs/>
          <w:sz w:val="32"/>
          <w:szCs w:val="32"/>
        </w:rPr>
      </w:pPr>
      <w:r>
        <w:rPr>
          <w:rFonts w:hint="eastAsia" w:ascii="楷体_GB2312" w:hAnsi="仿宋_GB2312" w:eastAsia="楷体_GB2312" w:cs="仿宋_GB2312"/>
          <w:bCs/>
          <w:sz w:val="32"/>
          <w:szCs w:val="32"/>
        </w:rPr>
        <w:t>（四）政务公开工作创新情况</w:t>
      </w:r>
    </w:p>
    <w:p>
      <w:pPr>
        <w:spacing w:line="560" w:lineRule="exact"/>
        <w:ind w:firstLine="618"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无。</w:t>
      </w:r>
    </w:p>
    <w:p>
      <w:pPr>
        <w:spacing w:line="560" w:lineRule="exact"/>
        <w:ind w:firstLine="618" w:firstLineChars="200"/>
        <w:rPr>
          <w:rFonts w:ascii="楷体_GB2312" w:hAnsi="仿宋_GB2312" w:eastAsia="楷体_GB2312" w:cs="仿宋_GB2312"/>
          <w:bCs/>
          <w:sz w:val="32"/>
          <w:szCs w:val="32"/>
        </w:rPr>
      </w:pPr>
      <w:r>
        <w:rPr>
          <w:rFonts w:hint="eastAsia" w:ascii="楷体_GB2312" w:hAnsi="仿宋_GB2312" w:eastAsia="楷体_GB2312" w:cs="仿宋_GB2312"/>
          <w:bCs/>
          <w:sz w:val="32"/>
          <w:szCs w:val="32"/>
        </w:rPr>
        <w:t>（五）本行政机关政府信息公开工作年度报告数据统计需要说明的事项</w:t>
      </w:r>
    </w:p>
    <w:p>
      <w:pPr>
        <w:spacing w:line="560" w:lineRule="exact"/>
        <w:ind w:firstLine="618"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报告中所列数据的统计期限自202</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年1月1日起至202</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年12月31日止。</w:t>
      </w:r>
    </w:p>
    <w:p>
      <w:pPr>
        <w:spacing w:line="560" w:lineRule="exact"/>
        <w:ind w:firstLine="618" w:firstLineChars="200"/>
        <w:rPr>
          <w:rFonts w:ascii="楷体_GB2312" w:hAnsi="仿宋_GB2312" w:eastAsia="楷体_GB2312" w:cs="仿宋_GB2312"/>
          <w:bCs/>
          <w:sz w:val="32"/>
          <w:szCs w:val="32"/>
        </w:rPr>
      </w:pPr>
      <w:r>
        <w:rPr>
          <w:rFonts w:hint="eastAsia" w:ascii="楷体_GB2312" w:hAnsi="仿宋_GB2312" w:eastAsia="楷体_GB2312" w:cs="仿宋_GB2312"/>
          <w:bCs/>
          <w:sz w:val="32"/>
          <w:szCs w:val="32"/>
        </w:rPr>
        <w:t>（六）本行政机关认为需要报告的其他事项</w:t>
      </w:r>
    </w:p>
    <w:p>
      <w:pPr>
        <w:spacing w:line="560" w:lineRule="exact"/>
        <w:ind w:firstLine="618"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p>
      <w:pPr>
        <w:numPr>
          <w:ilvl w:val="0"/>
          <w:numId w:val="1"/>
        </w:numPr>
        <w:spacing w:line="560" w:lineRule="exact"/>
        <w:ind w:firstLine="618" w:firstLineChars="200"/>
        <w:rPr>
          <w:rFonts w:ascii="楷体_GB2312" w:hAnsi="仿宋_GB2312" w:eastAsia="楷体_GB2312" w:cs="仿宋_GB2312"/>
          <w:bCs/>
          <w:sz w:val="32"/>
          <w:szCs w:val="32"/>
        </w:rPr>
      </w:pPr>
      <w:r>
        <w:rPr>
          <w:rFonts w:hint="eastAsia" w:ascii="楷体_GB2312" w:hAnsi="仿宋_GB2312" w:eastAsia="楷体_GB2312" w:cs="仿宋_GB2312"/>
          <w:bCs/>
          <w:sz w:val="32"/>
          <w:szCs w:val="32"/>
        </w:rPr>
        <w:t>其他有关文件专门要求通过政府信息公开工作年度报告予以报告的事项</w:t>
      </w:r>
    </w:p>
    <w:p>
      <w:pPr>
        <w:spacing w:line="560" w:lineRule="exact"/>
        <w:ind w:firstLine="618"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无。</w:t>
      </w:r>
    </w:p>
    <w:p>
      <w:pPr>
        <w:spacing w:line="560" w:lineRule="exact"/>
        <w:ind w:firstLine="618" w:firstLineChars="200"/>
        <w:rPr>
          <w:rFonts w:ascii="宋体" w:hAnsi="宋体" w:eastAsia="宋体" w:cs="宋体"/>
          <w:sz w:val="32"/>
          <w:szCs w:val="32"/>
          <w:shd w:val="clear" w:color="auto" w:fill="FFFFFF"/>
        </w:rPr>
      </w:pPr>
    </w:p>
    <w:p>
      <w:pPr>
        <w:spacing w:line="560" w:lineRule="exact"/>
        <w:ind w:firstLine="618" w:firstLineChars="200"/>
        <w:jc w:val="center"/>
        <w:rPr>
          <w:rFonts w:ascii="仿宋_GB2312" w:hAnsi="仿宋_GB2312" w:eastAsia="仿宋_GB2312" w:cs="Calibri"/>
          <w:sz w:val="32"/>
          <w:szCs w:val="32"/>
          <w:highlight w:val="none"/>
          <w:shd w:val="clear" w:color="auto" w:fill="FFFFFF"/>
        </w:rPr>
      </w:pPr>
      <w:r>
        <w:rPr>
          <w:rFonts w:hint="eastAsia" w:ascii="仿宋_GB2312" w:hAnsi="仿宋_GB2312" w:eastAsia="仿宋_GB2312" w:cs="Calibri"/>
          <w:sz w:val="32"/>
          <w:szCs w:val="32"/>
          <w:highlight w:val="none"/>
          <w:shd w:val="clear" w:color="auto" w:fill="FFFFFF"/>
          <w:lang w:val="en-US" w:eastAsia="zh-CN"/>
        </w:rPr>
        <w:t xml:space="preserve">                                    </w:t>
      </w:r>
      <w:r>
        <w:rPr>
          <w:rFonts w:hint="eastAsia" w:ascii="仿宋_GB2312" w:hAnsi="仿宋_GB2312" w:eastAsia="仿宋_GB2312" w:cs="Calibri"/>
          <w:sz w:val="32"/>
          <w:szCs w:val="32"/>
          <w:highlight w:val="none"/>
          <w:shd w:val="clear" w:color="auto" w:fill="FFFFFF"/>
        </w:rPr>
        <w:t>台儿庄</w:t>
      </w:r>
      <w:r>
        <w:rPr>
          <w:rFonts w:ascii="仿宋_GB2312" w:hAnsi="仿宋_GB2312" w:eastAsia="仿宋_GB2312" w:cs="Calibri"/>
          <w:sz w:val="32"/>
          <w:szCs w:val="32"/>
          <w:highlight w:val="none"/>
          <w:shd w:val="clear" w:color="auto" w:fill="FFFFFF"/>
        </w:rPr>
        <w:t>区统计局</w:t>
      </w:r>
    </w:p>
    <w:p>
      <w:pPr>
        <w:spacing w:line="560" w:lineRule="exact"/>
        <w:ind w:firstLine="618" w:firstLineChars="200"/>
        <w:jc w:val="right"/>
        <w:rPr>
          <w:rFonts w:ascii="仿宋_GB2312" w:hAnsi="仿宋_GB2312" w:eastAsia="仿宋_GB2312" w:cs="Calibri"/>
          <w:sz w:val="32"/>
          <w:szCs w:val="32"/>
          <w:highlight w:val="none"/>
          <w:shd w:val="clear" w:color="auto" w:fill="FFFFFF"/>
        </w:rPr>
      </w:pPr>
      <w:r>
        <w:rPr>
          <w:rFonts w:ascii="仿宋_GB2312" w:hAnsi="仿宋_GB2312" w:eastAsia="仿宋_GB2312" w:cs="Calibri"/>
          <w:sz w:val="32"/>
          <w:szCs w:val="32"/>
          <w:highlight w:val="none"/>
          <w:shd w:val="clear" w:color="auto" w:fill="FFFFFF"/>
        </w:rPr>
        <w:t>2025年1月</w:t>
      </w:r>
      <w:r>
        <w:rPr>
          <w:rFonts w:hint="eastAsia" w:ascii="仿宋_GB2312" w:hAnsi="仿宋_GB2312" w:eastAsia="仿宋_GB2312" w:cs="Calibri"/>
          <w:sz w:val="32"/>
          <w:szCs w:val="32"/>
          <w:highlight w:val="none"/>
          <w:shd w:val="clear" w:color="auto" w:fill="FFFFFF"/>
          <w:lang w:val="en-US" w:eastAsia="zh-CN"/>
        </w:rPr>
        <w:t>20</w:t>
      </w:r>
      <w:r>
        <w:rPr>
          <w:rFonts w:ascii="仿宋_GB2312" w:hAnsi="仿宋_GB2312" w:eastAsia="仿宋_GB2312" w:cs="Calibri"/>
          <w:sz w:val="32"/>
          <w:szCs w:val="32"/>
          <w:highlight w:val="none"/>
          <w:shd w:val="clear" w:color="auto" w:fill="FFFFFF"/>
        </w:rPr>
        <w:t>日</w:t>
      </w:r>
    </w:p>
    <w:p>
      <w:pPr>
        <w:spacing w:line="560" w:lineRule="exact"/>
        <w:rPr>
          <w:sz w:val="32"/>
          <w:szCs w:val="32"/>
        </w:rPr>
      </w:pPr>
    </w:p>
    <w:sectPr>
      <w:footerReference r:id="rId3" w:type="default"/>
      <w:footerReference r:id="rId4" w:type="even"/>
      <w:pgSz w:w="11906" w:h="16838"/>
      <w:pgMar w:top="1985" w:right="1588" w:bottom="1985" w:left="1588" w:header="1418" w:footer="1701" w:gutter="0"/>
      <w:pgNumType w:fmt="decimalFullWidth"/>
      <w:cols w:space="425" w:num="1"/>
      <w:docGrid w:type="linesAndChars" w:linePitch="312" w:charSpace="-23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tabs>
        <w:tab w:val="center" w:pos="4153"/>
        <w:tab w:val="right" w:pos="8306"/>
      </w:tabs>
      <w:snapToGrid w:val="0"/>
      <w:jc w:val="left"/>
      <w:rPr>
        <w:rFonts w:ascii="宋体" w:hAnsi="宋体" w:eastAsia="宋体" w:cs="Times New Roman"/>
        <w:sz w:val="28"/>
        <w:szCs w:val="28"/>
      </w:rPr>
    </w:pPr>
    <w:r>
      <w:rPr>
        <w:rFonts w:hint="eastAsia" w:ascii="宋体" w:hAnsi="宋体" w:eastAsia="宋体" w:cs="Times New Roman"/>
        <w:sz w:val="28"/>
        <w:szCs w:val="28"/>
      </w:rPr>
      <w:t>—</w:t>
    </w:r>
    <w:r>
      <w:rPr>
        <w:rFonts w:ascii="宋体" w:hAnsi="宋体" w:eastAsia="宋体" w:cs="Times New Roman"/>
        <w:sz w:val="28"/>
        <w:szCs w:val="28"/>
      </w:rPr>
      <w:fldChar w:fldCharType="begin"/>
    </w:r>
    <w:r>
      <w:rPr>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Fonts w:ascii="宋体" w:hAnsi="宋体" w:eastAsia="宋体" w:cs="Times New Roman"/>
        <w:sz w:val="28"/>
        <w:szCs w:val="28"/>
      </w:rPr>
      <w:t>３</w:t>
    </w:r>
    <w:r>
      <w:rPr>
        <w:rFonts w:ascii="宋体" w:hAnsi="宋体" w:eastAsia="宋体" w:cs="Times New Roman"/>
        <w:sz w:val="28"/>
        <w:szCs w:val="28"/>
      </w:rPr>
      <w:fldChar w:fldCharType="end"/>
    </w:r>
    <w:r>
      <w:rPr>
        <w:rFonts w:hint="eastAsia" w:ascii="宋体" w:hAnsi="宋体" w:eastAsia="宋体" w:cs="Times New Roman"/>
        <w:sz w:val="28"/>
        <w:szCs w:val="28"/>
      </w:rPr>
      <w:t>—</w:t>
    </w:r>
  </w:p>
  <w:p>
    <w:pPr>
      <w:tabs>
        <w:tab w:val="center" w:pos="4153"/>
        <w:tab w:val="right" w:pos="8306"/>
      </w:tabs>
      <w:snapToGrid w:val="0"/>
      <w:ind w:right="360" w:firstLine="360"/>
      <w:jc w:val="left"/>
      <w:rPr>
        <w:rFonts w:ascii="Times New Roman" w:hAnsi="Times New Roman" w:eastAsia="宋体"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tabs>
        <w:tab w:val="center" w:pos="4153"/>
        <w:tab w:val="right" w:pos="8306"/>
      </w:tabs>
      <w:snapToGrid w:val="0"/>
      <w:jc w:val="left"/>
      <w:rPr>
        <w:rFonts w:ascii="宋体" w:hAnsi="宋体" w:eastAsia="宋体" w:cs="Times New Roman"/>
        <w:sz w:val="28"/>
        <w:szCs w:val="28"/>
      </w:rPr>
    </w:pPr>
    <w:r>
      <w:rPr>
        <w:rFonts w:hint="eastAsia" w:ascii="宋体" w:hAnsi="宋体" w:eastAsia="宋体" w:cs="Times New Roman"/>
        <w:sz w:val="28"/>
        <w:szCs w:val="28"/>
      </w:rPr>
      <w:t>—</w:t>
    </w:r>
    <w:r>
      <w:rPr>
        <w:rFonts w:ascii="宋体" w:hAnsi="宋体" w:eastAsia="宋体" w:cs="Times New Roman"/>
        <w:sz w:val="28"/>
        <w:szCs w:val="28"/>
      </w:rPr>
      <w:fldChar w:fldCharType="begin"/>
    </w:r>
    <w:r>
      <w:rPr>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Fonts w:ascii="宋体" w:hAnsi="宋体" w:eastAsia="宋体" w:cs="Times New Roman"/>
        <w:sz w:val="28"/>
        <w:szCs w:val="28"/>
      </w:rPr>
      <w:t>２</w:t>
    </w:r>
    <w:r>
      <w:rPr>
        <w:rFonts w:ascii="宋体" w:hAnsi="宋体" w:eastAsia="宋体" w:cs="Times New Roman"/>
        <w:sz w:val="28"/>
        <w:szCs w:val="28"/>
      </w:rPr>
      <w:fldChar w:fldCharType="end"/>
    </w:r>
    <w:r>
      <w:rPr>
        <w:rFonts w:hint="eastAsia" w:ascii="宋体" w:hAnsi="宋体" w:eastAsia="宋体" w:cs="Times New Roman"/>
        <w:sz w:val="28"/>
        <w:szCs w:val="28"/>
      </w:rPr>
      <w:t>—</w:t>
    </w:r>
  </w:p>
  <w:p>
    <w:pPr>
      <w:tabs>
        <w:tab w:val="center" w:pos="4153"/>
        <w:tab w:val="right" w:pos="8306"/>
      </w:tabs>
      <w:snapToGrid w:val="0"/>
      <w:ind w:right="360" w:firstLine="360"/>
      <w:jc w:val="center"/>
      <w:rPr>
        <w:rFonts w:ascii="Times New Roman" w:hAnsi="Times New Roman" w:eastAsia="宋体" w:cs="Times New Roman"/>
        <w:sz w:val="18"/>
        <w:szCs w:val="1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CA673E"/>
    <w:multiLevelType w:val="singleLevel"/>
    <w:tmpl w:val="7DCA673E"/>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lNDE2NTRmOWZlYzE3YTUxYThlM2QzNDU2ZGM1MzEifQ=="/>
    <w:docVar w:name="KSO_WPS_MARK_KEY" w:val="08f9495a-6aff-4e95-a34b-165c9c32140c"/>
  </w:docVars>
  <w:rsids>
    <w:rsidRoot w:val="00660577"/>
    <w:rsid w:val="001801BE"/>
    <w:rsid w:val="0029441C"/>
    <w:rsid w:val="002B1CE1"/>
    <w:rsid w:val="00393E1F"/>
    <w:rsid w:val="00603AC8"/>
    <w:rsid w:val="00660577"/>
    <w:rsid w:val="006A7963"/>
    <w:rsid w:val="00732C81"/>
    <w:rsid w:val="00AC7F25"/>
    <w:rsid w:val="00CA5103"/>
    <w:rsid w:val="00F33849"/>
    <w:rsid w:val="09A908B8"/>
    <w:rsid w:val="109943B8"/>
    <w:rsid w:val="1134315E"/>
    <w:rsid w:val="18A75BC7"/>
    <w:rsid w:val="29305519"/>
    <w:rsid w:val="3406085D"/>
    <w:rsid w:val="34C1046A"/>
    <w:rsid w:val="35F25212"/>
    <w:rsid w:val="3A1C2BAB"/>
    <w:rsid w:val="59125F85"/>
    <w:rsid w:val="59226179"/>
    <w:rsid w:val="5CF13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2503</Words>
  <Characters>2619</Characters>
  <Lines>21</Lines>
  <Paragraphs>6</Paragraphs>
  <TotalTime>1350</TotalTime>
  <ScaleCrop>false</ScaleCrop>
  <LinksUpToDate>false</LinksUpToDate>
  <CharactersWithSpaces>2655</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2025-01-09T03:01:00Z</dcterms:created>
  <dc:creator>HP</dc:creator>
  <cp:lastModifiedBy>cookie</cp:lastModifiedBy>
  <dcterms:modified xsi:type="dcterms:W3CDTF">2025-01-17T06:36:16Z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C165E6E0ED4E44AD8C4C2FF9142570BD</vt:lpwstr>
  </property>
</Properties>
</file>