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25483">
      <w:pPr>
        <w:widowControl/>
        <w:spacing w:line="560" w:lineRule="exact"/>
        <w:jc w:val="center"/>
        <w:rPr>
          <w:rFonts w:ascii="方正小标宋简体" w:hAnsi="楷体_GB2312" w:eastAsia="方正小标宋简体" w:cs="楷体_GB2312"/>
          <w:color w:val="000000"/>
          <w:kern w:val="0"/>
          <w:sz w:val="44"/>
          <w:szCs w:val="44"/>
        </w:rPr>
      </w:pPr>
      <w:r>
        <w:rPr>
          <w:rFonts w:hint="eastAsia" w:ascii="方正小标宋简体" w:hAnsi="楷体_GB2312" w:eastAsia="方正小标宋简体" w:cs="楷体_GB2312"/>
          <w:color w:val="000000"/>
          <w:kern w:val="0"/>
          <w:sz w:val="44"/>
          <w:szCs w:val="44"/>
        </w:rPr>
        <w:t>枣庄市台儿庄</w:t>
      </w:r>
      <w:r>
        <w:rPr>
          <w:rFonts w:ascii="方正小标宋简体" w:hAnsi="楷体_GB2312" w:eastAsia="方正小标宋简体" w:cs="楷体_GB2312"/>
          <w:color w:val="000000"/>
          <w:kern w:val="0"/>
          <w:sz w:val="44"/>
          <w:szCs w:val="44"/>
        </w:rPr>
        <w:t>区</w:t>
      </w:r>
      <w:r>
        <w:rPr>
          <w:rFonts w:hint="eastAsia" w:ascii="方正小标宋简体" w:hAnsi="楷体_GB2312" w:eastAsia="方正小标宋简体" w:cs="楷体_GB2312"/>
          <w:color w:val="000000"/>
          <w:kern w:val="0"/>
          <w:sz w:val="44"/>
          <w:szCs w:val="44"/>
        </w:rPr>
        <w:t>运河街道办事处</w:t>
      </w:r>
    </w:p>
    <w:p w14:paraId="289411F9">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2024年政府信息公开工作年度报告</w:t>
      </w:r>
    </w:p>
    <w:p w14:paraId="676834AB">
      <w:pPr>
        <w:widowControl/>
        <w:spacing w:line="560" w:lineRule="exact"/>
        <w:rPr>
          <w:rFonts w:ascii="仿宋_GB2312" w:hAnsi="仿宋_GB2312" w:eastAsia="仿宋_GB2312" w:cs="仿宋_GB2312"/>
          <w:color w:val="000000"/>
          <w:kern w:val="0"/>
          <w:sz w:val="32"/>
          <w:szCs w:val="32"/>
        </w:rPr>
      </w:pPr>
    </w:p>
    <w:p w14:paraId="550E948B">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根据《中华人民共和国政府信息公开条例》规定，现公布运河街道办事处202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年政府信息公开工作年度报告。</w:t>
      </w:r>
      <w:r>
        <w:rPr>
          <w:rFonts w:hint="eastAsia" w:ascii="仿宋_GB2312" w:hAnsi="仿宋_GB2312" w:eastAsia="仿宋_GB2312" w:cs="仿宋_GB2312"/>
          <w:color w:val="000000"/>
          <w:kern w:val="0"/>
          <w:sz w:val="32"/>
          <w:szCs w:val="32"/>
        </w:rPr>
        <w:t>本报告包括总体情况、主动公开政府信息情况、收到和处理政府信息公开申请情况、政府信息公开行政复议行政诉讼情况、存在的主要问题及改进情况、其他需要报告的事项</w:t>
      </w:r>
      <w:bookmarkStart w:id="10" w:name="_GoBack"/>
      <w:bookmarkEnd w:id="10"/>
      <w:r>
        <w:rPr>
          <w:rFonts w:hint="eastAsia" w:ascii="仿宋_GB2312" w:hAnsi="仿宋_GB2312" w:eastAsia="仿宋_GB2312" w:cs="仿宋_GB2312"/>
          <w:color w:val="000000"/>
          <w:kern w:val="0"/>
          <w:sz w:val="32"/>
          <w:szCs w:val="32"/>
        </w:rPr>
        <w:t>等六个部分，所列数据统计期限2024年1月1日起至2024年12月31日。</w:t>
      </w:r>
      <w:r>
        <w:rPr>
          <w:rFonts w:ascii="仿宋_GB2312" w:hAnsi="仿宋_GB2312" w:eastAsia="仿宋_GB2312" w:cs="仿宋_GB2312"/>
          <w:sz w:val="32"/>
          <w:szCs w:val="32"/>
        </w:rPr>
        <w:t>如对本报告有疑问，请与运河街道办事处党政办公室联系（地址：台儿庄区兰祺路与长安路交叉口西50米；邮编：277400；联系电话：0632-6611891邮箱：yh321789@zz.shandong.cn）。</w:t>
      </w:r>
    </w:p>
    <w:p w14:paraId="1F1F8B44">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14:paraId="203E5049">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我街认真贯彻落实《中华人民共和国政府信息公开条例》，紧紧围绕党工委、办事处重大决策部署和群众关注的焦点、热点问题，全面推进“五公开”（决策、执行、管理、服务、结果）和重点领域政府信息公开工作重点，加强政策解读和政务舆情回应，完善政务公开制度规范，切实增强人民群众的满意度、获得感，着力提升政务公开质量，推动政务公开工作再上新台阶。</w:t>
      </w:r>
    </w:p>
    <w:p w14:paraId="7DAA3CDC">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（一）主动公开方面。</w:t>
      </w:r>
      <w:r>
        <w:rPr>
          <w:rFonts w:hint="eastAsia" w:ascii="仿宋_GB2312" w:hAnsi="仿宋_GB2312" w:eastAsia="仿宋_GB2312" w:cs="仿宋_GB2312"/>
          <w:sz w:val="32"/>
          <w:szCs w:val="32"/>
        </w:rPr>
        <w:t>2024年，在</w:t>
      </w:r>
      <w:r>
        <w:rPr>
          <w:rFonts w:ascii="仿宋_GB2312" w:hAnsi="仿宋_GB2312" w:eastAsia="仿宋_GB2312" w:cs="仿宋_GB2312"/>
          <w:sz w:val="32"/>
          <w:szCs w:val="32"/>
        </w:rPr>
        <w:t>区政府门户网站、街道</w:t>
      </w:r>
      <w:r>
        <w:rPr>
          <w:rFonts w:hint="eastAsia" w:ascii="仿宋_GB2312" w:hAnsi="仿宋_GB2312" w:eastAsia="仿宋_GB2312" w:cs="仿宋_GB2312"/>
          <w:sz w:val="32"/>
          <w:szCs w:val="32"/>
        </w:rPr>
        <w:t>政务新媒体平台上，</w:t>
      </w:r>
      <w:r>
        <w:rPr>
          <w:rFonts w:ascii="仿宋_GB2312" w:hAnsi="仿宋_GB2312" w:eastAsia="仿宋_GB2312" w:cs="仿宋_GB2312"/>
          <w:sz w:val="32"/>
          <w:szCs w:val="32"/>
        </w:rPr>
        <w:t>及时更新网站和政务新媒体日常动态信息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通过区政府门户网站主动公开政府信息</w:t>
      </w:r>
      <w:r>
        <w:rPr>
          <w:rFonts w:hint="eastAsia" w:ascii="仿宋_GB2312" w:hAnsi="仿宋_GB2312" w:eastAsia="仿宋_GB2312" w:cs="仿宋_GB2312"/>
          <w:sz w:val="32"/>
          <w:szCs w:val="32"/>
        </w:rPr>
        <w:t>45</w:t>
      </w:r>
      <w:r>
        <w:rPr>
          <w:rFonts w:ascii="仿宋_GB2312" w:hAnsi="仿宋_GB2312" w:eastAsia="仿宋_GB2312" w:cs="仿宋_GB2312"/>
          <w:sz w:val="32"/>
          <w:szCs w:val="32"/>
        </w:rPr>
        <w:t>条，在微信公众号“运河万象”推送信息1000余条</w:t>
      </w:r>
      <w:r>
        <w:rPr>
          <w:rFonts w:hint="eastAsia" w:ascii="仿宋_GB2312" w:hAnsi="仿宋_GB2312" w:eastAsia="仿宋_GB2312" w:cs="仿宋_GB2312"/>
          <w:sz w:val="32"/>
          <w:szCs w:val="32"/>
        </w:rPr>
        <w:t>。</w:t>
      </w:r>
    </w:p>
    <w:p w14:paraId="5F748CCE">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（二）依申请公开方面。</w:t>
      </w:r>
      <w:r>
        <w:rPr>
          <w:rFonts w:ascii="仿宋_GB2312" w:hAnsi="仿宋_GB2312" w:eastAsia="仿宋_GB2312" w:cs="仿宋_GB2312"/>
          <w:sz w:val="32"/>
          <w:szCs w:val="32"/>
        </w:rPr>
        <w:t>依法依规做好依申请公开工作</w:t>
      </w:r>
      <w:r>
        <w:rPr>
          <w:rFonts w:hint="eastAsia" w:ascii="仿宋_GB2312" w:hAnsi="仿宋_GB2312" w:eastAsia="仿宋_GB2312" w:cs="仿宋_GB2312"/>
          <w:sz w:val="32"/>
          <w:szCs w:val="32"/>
        </w:rPr>
        <w:t>，2024年</w:t>
      </w:r>
      <w:r>
        <w:rPr>
          <w:rFonts w:ascii="仿宋_GB2312" w:hAnsi="仿宋_GB2312" w:eastAsia="仿宋_GB2312" w:cs="仿宋_GB2312"/>
          <w:sz w:val="32"/>
          <w:szCs w:val="32"/>
        </w:rPr>
        <w:t>收到政府信息公开申请</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件，均按时回复。期间，我</w:t>
      </w:r>
      <w:r>
        <w:rPr>
          <w:rFonts w:hint="eastAsia" w:ascii="仿宋_GB2312" w:hAnsi="仿宋_GB2312" w:eastAsia="仿宋_GB2312" w:cs="仿宋_GB2312"/>
          <w:sz w:val="32"/>
          <w:szCs w:val="32"/>
        </w:rPr>
        <w:t>街</w:t>
      </w:r>
      <w:r>
        <w:rPr>
          <w:rFonts w:ascii="仿宋_GB2312" w:hAnsi="仿宋_GB2312" w:eastAsia="仿宋_GB2312" w:cs="仿宋_GB2312"/>
          <w:sz w:val="32"/>
          <w:szCs w:val="32"/>
        </w:rPr>
        <w:t>严格</w:t>
      </w:r>
      <w:r>
        <w:rPr>
          <w:rFonts w:hint="eastAsia" w:ascii="仿宋_GB2312" w:hAnsi="仿宋_GB2312" w:eastAsia="仿宋_GB2312" w:cs="仿宋_GB2312"/>
          <w:sz w:val="32"/>
          <w:szCs w:val="32"/>
        </w:rPr>
        <w:t>规范政府信息公开申请办理工作，保障公民、法人和其他组织依法获取政府信息，促进法治政府、服务型政府建设。2024年，没有因政府信息公开工作被申请行政复议、提起行政诉讼情况。</w:t>
      </w:r>
    </w:p>
    <w:p w14:paraId="11D8A0EE">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（三）政府信息管理方面。</w:t>
      </w:r>
      <w:r>
        <w:rPr>
          <w:rFonts w:hint="eastAsia" w:ascii="仿宋_GB2312" w:hAnsi="仿宋_GB2312" w:eastAsia="仿宋_GB2312" w:cs="仿宋_GB2312"/>
          <w:sz w:val="32"/>
          <w:szCs w:val="32"/>
        </w:rPr>
        <w:t>我街政府信息公开工作由主要领导总负责，分管领导牵头，各科室协同配合，并落实专人负责，定期收集各条线的各类信息并按时更新。认真贯彻执行信息发布“三审三校”制度，</w:t>
      </w:r>
      <w:r>
        <w:rPr>
          <w:rFonts w:ascii="仿宋_GB2312" w:hAnsi="仿宋_GB2312" w:eastAsia="仿宋_GB2312" w:cs="仿宋_GB2312"/>
          <w:sz w:val="32"/>
          <w:szCs w:val="32"/>
        </w:rPr>
        <w:t>落实领导责任制、岗位责任制，确保信息发布审核程序规范</w:t>
      </w:r>
      <w:r>
        <w:rPr>
          <w:rFonts w:hint="eastAsia" w:ascii="仿宋_GB2312" w:hAnsi="仿宋_GB2312" w:eastAsia="仿宋_GB2312" w:cs="仿宋_GB2312"/>
          <w:sz w:val="32"/>
          <w:szCs w:val="32"/>
        </w:rPr>
        <w:t>。</w:t>
      </w:r>
    </w:p>
    <w:p w14:paraId="68B9FD38">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（四）政府信息公开平台建设方面。</w:t>
      </w:r>
      <w:r>
        <w:rPr>
          <w:rFonts w:hint="eastAsia" w:ascii="仿宋_GB2312" w:hAnsi="仿宋_GB2312" w:eastAsia="仿宋_GB2312" w:cs="仿宋_GB2312"/>
          <w:sz w:val="32"/>
          <w:szCs w:val="32"/>
        </w:rPr>
        <w:t>一是根据政府信息公开要求的变化，对政府信息公开的主阵地运河街道政府门户网站版块的功能和栏目进行更新，以适应政府信息公开的新变化。二是积极拓宽政府信息公开渠道，充分发挥政务新媒体的作用，利用微信公众号推送政府信息，加强移动端的政府信息公开力度。三是提升公共区域的政府信息公开覆盖面，充分利用街道、社区两级政务服务场所开展政务公开工作，宣传党和政府的政策方针、办事指南等。</w:t>
      </w:r>
    </w:p>
    <w:p w14:paraId="7FCABC68">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（五）监督保障方面。</w:t>
      </w:r>
      <w:r>
        <w:rPr>
          <w:rFonts w:hint="eastAsia" w:ascii="仿宋_GB2312" w:hAnsi="仿宋_GB2312" w:eastAsia="仿宋_GB2312" w:cs="仿宋_GB2312"/>
          <w:sz w:val="32"/>
          <w:szCs w:val="32"/>
        </w:rPr>
        <w:t>进一步明确职责分工、落实专人负责，将政府信息公开工作与各项重点工作同部署、同考核、同落实，确保政府信息公开工作规范开展。进一步完善信息公开审查制度，加强信息公开专栏建设，切实落实政务信息公开相关任务，有效保障群众依法获取政府信息。</w:t>
      </w:r>
    </w:p>
    <w:p w14:paraId="44578673">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8824" w:type="dxa"/>
        <w:jc w:val="center"/>
        <w:tblLayout w:type="fixed"/>
        <w:tblCellMar>
          <w:top w:w="0" w:type="dxa"/>
          <w:left w:w="108" w:type="dxa"/>
          <w:bottom w:w="0" w:type="dxa"/>
          <w:right w:w="108" w:type="dxa"/>
        </w:tblCellMar>
      </w:tblPr>
      <w:tblGrid>
        <w:gridCol w:w="2206"/>
        <w:gridCol w:w="2206"/>
        <w:gridCol w:w="2206"/>
        <w:gridCol w:w="2206"/>
      </w:tblGrid>
      <w:tr w14:paraId="456F5E25">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BB80FE">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64DACB52">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0467411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14:paraId="2654701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14:paraId="01BCB3D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14:paraId="77CE051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657CF873">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50E7B4B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14:paraId="4B1FA10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14:paraId="4798B27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14:paraId="26E7B8EE">
            <w:pPr>
              <w:widowControl/>
              <w:jc w:val="center"/>
              <w:rPr>
                <w:rFonts w:ascii="仿宋_GB2312" w:hAnsi="Calibri" w:eastAsia="仿宋_GB2312" w:cs="Calibri"/>
                <w:color w:val="000000"/>
                <w:kern w:val="0"/>
                <w:szCs w:val="21"/>
              </w:rPr>
            </w:pPr>
            <w:r>
              <w:rPr>
                <w:rFonts w:hint="eastAsia" w:ascii="仿宋_GB2312" w:hAnsi="宋体" w:eastAsia="仿宋_GB2312" w:cs="宋体"/>
                <w:color w:val="000000"/>
                <w:kern w:val="0"/>
                <w:szCs w:val="21"/>
              </w:rPr>
              <w:t>0</w:t>
            </w:r>
          </w:p>
        </w:tc>
      </w:tr>
      <w:tr w14:paraId="47E3EAA4">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087A5F9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14:paraId="4DAE714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14:paraId="3FE769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14:paraId="54A2906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14:paraId="194FDE66">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3DC3EA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9DC356E">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7B2DF10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14:paraId="164862B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2672FE9">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6534018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14:paraId="13DF62AD">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14:paraId="7E0CC0F6">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6B6335E">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C962223">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60EF4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14:paraId="5282AEA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5431015">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4281B42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14:paraId="2B5B5E29">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14:paraId="6678C10F">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174A466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14:paraId="352FEDFE">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14:paraId="565BB5CF">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0F7A84E">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28B2ED5B">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0B41A50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14:paraId="6415FA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26158EE7">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vAlign w:val="center"/>
          </w:tcPr>
          <w:p w14:paraId="0897084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14:paraId="0FAA8341">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bl>
    <w:p w14:paraId="6EB153A9">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36E84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tcMar>
              <w:left w:w="108" w:type="dxa"/>
              <w:right w:w="108" w:type="dxa"/>
            </w:tcMar>
            <w:vAlign w:val="center"/>
          </w:tcPr>
          <w:p w14:paraId="73695F69">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7EE0721">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tcMar>
              <w:left w:w="108" w:type="dxa"/>
              <w:right w:w="108" w:type="dxa"/>
            </w:tcMar>
            <w:vAlign w:val="center"/>
          </w:tcPr>
          <w:p w14:paraId="2575AB9E">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4D79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tcMar>
              <w:left w:w="108" w:type="dxa"/>
              <w:right w:w="108" w:type="dxa"/>
            </w:tcMar>
            <w:vAlign w:val="center"/>
          </w:tcPr>
          <w:p w14:paraId="6D843197">
            <w:pPr>
              <w:jc w:val="center"/>
              <w:rPr>
                <w:rFonts w:ascii="仿宋_GB2312" w:eastAsia="仿宋_GB2312"/>
                <w:szCs w:val="21"/>
              </w:rPr>
            </w:pPr>
          </w:p>
        </w:tc>
        <w:tc>
          <w:tcPr>
            <w:tcW w:w="752" w:type="dxa"/>
            <w:vMerge w:val="restart"/>
            <w:tcMar>
              <w:left w:w="108" w:type="dxa"/>
              <w:right w:w="108" w:type="dxa"/>
            </w:tcMar>
            <w:vAlign w:val="center"/>
          </w:tcPr>
          <w:p w14:paraId="3BB12AD0">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tcMar>
              <w:left w:w="108" w:type="dxa"/>
              <w:right w:w="108" w:type="dxa"/>
            </w:tcMar>
            <w:vAlign w:val="center"/>
          </w:tcPr>
          <w:p w14:paraId="47AAB707">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tcMar>
              <w:left w:w="108" w:type="dxa"/>
              <w:right w:w="108" w:type="dxa"/>
            </w:tcMar>
            <w:vAlign w:val="center"/>
          </w:tcPr>
          <w:p w14:paraId="3ACDEEDB">
            <w:pPr>
              <w:widowControl/>
              <w:jc w:val="center"/>
              <w:rPr>
                <w:rFonts w:ascii="黑体" w:hAnsi="黑体" w:eastAsia="黑体"/>
                <w:szCs w:val="21"/>
              </w:rPr>
            </w:pPr>
            <w:r>
              <w:rPr>
                <w:rFonts w:hint="eastAsia" w:ascii="黑体" w:hAnsi="黑体" w:eastAsia="黑体"/>
                <w:kern w:val="0"/>
                <w:szCs w:val="21"/>
              </w:rPr>
              <w:t>总计</w:t>
            </w:r>
          </w:p>
        </w:tc>
      </w:tr>
      <w:tr w14:paraId="4638C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tcMar>
              <w:left w:w="108" w:type="dxa"/>
              <w:right w:w="108" w:type="dxa"/>
            </w:tcMar>
            <w:vAlign w:val="center"/>
          </w:tcPr>
          <w:p w14:paraId="15CBAE97">
            <w:pPr>
              <w:jc w:val="center"/>
              <w:rPr>
                <w:rFonts w:ascii="仿宋_GB2312" w:eastAsia="仿宋_GB2312"/>
                <w:szCs w:val="21"/>
              </w:rPr>
            </w:pPr>
          </w:p>
        </w:tc>
        <w:tc>
          <w:tcPr>
            <w:tcW w:w="752" w:type="dxa"/>
            <w:vMerge w:val="continue"/>
            <w:tcMar>
              <w:left w:w="108" w:type="dxa"/>
              <w:right w:w="108" w:type="dxa"/>
            </w:tcMar>
            <w:vAlign w:val="center"/>
          </w:tcPr>
          <w:p w14:paraId="58A0A034">
            <w:pPr>
              <w:jc w:val="center"/>
              <w:rPr>
                <w:rFonts w:ascii="黑体" w:hAnsi="黑体" w:eastAsia="黑体"/>
                <w:szCs w:val="21"/>
              </w:rPr>
            </w:pPr>
          </w:p>
        </w:tc>
        <w:tc>
          <w:tcPr>
            <w:tcW w:w="540" w:type="dxa"/>
            <w:tcMar>
              <w:left w:w="108" w:type="dxa"/>
              <w:right w:w="108" w:type="dxa"/>
            </w:tcMar>
            <w:vAlign w:val="center"/>
          </w:tcPr>
          <w:p w14:paraId="70DDD138">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tcMar>
              <w:left w:w="108" w:type="dxa"/>
              <w:right w:w="108" w:type="dxa"/>
            </w:tcMar>
            <w:vAlign w:val="center"/>
          </w:tcPr>
          <w:p w14:paraId="6E8C239B">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tcMar>
              <w:left w:w="108" w:type="dxa"/>
              <w:right w:w="108" w:type="dxa"/>
            </w:tcMar>
            <w:vAlign w:val="center"/>
          </w:tcPr>
          <w:p w14:paraId="3A9979B5">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tcMar>
              <w:left w:w="108" w:type="dxa"/>
              <w:right w:w="108" w:type="dxa"/>
            </w:tcMar>
            <w:vAlign w:val="center"/>
          </w:tcPr>
          <w:p w14:paraId="533AC61F">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tcMar>
              <w:left w:w="108" w:type="dxa"/>
              <w:right w:w="108" w:type="dxa"/>
            </w:tcMar>
            <w:vAlign w:val="center"/>
          </w:tcPr>
          <w:p w14:paraId="7FB4992C">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tcMar>
              <w:left w:w="108" w:type="dxa"/>
              <w:right w:w="108" w:type="dxa"/>
            </w:tcMar>
            <w:vAlign w:val="center"/>
          </w:tcPr>
          <w:p w14:paraId="6637856F">
            <w:pPr>
              <w:jc w:val="center"/>
              <w:rPr>
                <w:rFonts w:ascii="仿宋_GB2312" w:eastAsia="仿宋_GB2312"/>
                <w:szCs w:val="21"/>
              </w:rPr>
            </w:pPr>
          </w:p>
        </w:tc>
      </w:tr>
      <w:tr w14:paraId="1DCF0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tcMar>
              <w:left w:w="108" w:type="dxa"/>
              <w:right w:w="108" w:type="dxa"/>
            </w:tcMar>
            <w:vAlign w:val="center"/>
          </w:tcPr>
          <w:p w14:paraId="764FB8DC">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tcMar>
              <w:left w:w="108" w:type="dxa"/>
              <w:right w:w="108" w:type="dxa"/>
            </w:tcMar>
            <w:vAlign w:val="center"/>
          </w:tcPr>
          <w:p w14:paraId="4A4F310D">
            <w:pPr>
              <w:widowControl/>
              <w:spacing w:line="240" w:lineRule="exact"/>
              <w:jc w:val="center"/>
              <w:rPr>
                <w:rFonts w:ascii="仿宋_GB2312" w:eastAsia="仿宋_GB2312"/>
                <w:color w:val="000000"/>
                <w:szCs w:val="21"/>
                <w:highlight w:val="yellow"/>
              </w:rPr>
            </w:pPr>
            <w:r>
              <w:rPr>
                <w:rFonts w:hint="eastAsia" w:ascii="仿宋_GB2312" w:eastAsia="仿宋_GB2312"/>
                <w:color w:val="000000"/>
                <w:szCs w:val="21"/>
                <w:highlight w:val="none"/>
              </w:rPr>
              <w:t>1</w:t>
            </w:r>
          </w:p>
        </w:tc>
        <w:tc>
          <w:tcPr>
            <w:tcW w:w="540" w:type="dxa"/>
            <w:tcMar>
              <w:left w:w="108" w:type="dxa"/>
              <w:right w:w="108" w:type="dxa"/>
            </w:tcMar>
            <w:vAlign w:val="center"/>
          </w:tcPr>
          <w:p w14:paraId="4EDBA924">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319E28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6C0BD61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7D42797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0B3F685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61ED2B23">
            <w:pPr>
              <w:widowControl/>
              <w:spacing w:line="240" w:lineRule="exact"/>
              <w:jc w:val="center"/>
              <w:rPr>
                <w:rFonts w:ascii="仿宋_GB2312" w:eastAsia="仿宋_GB2312"/>
                <w:color w:val="000000"/>
                <w:szCs w:val="21"/>
              </w:rPr>
            </w:pPr>
            <w:r>
              <w:rPr>
                <w:rFonts w:hint="eastAsia" w:ascii="仿宋_GB2312" w:eastAsia="仿宋_GB2312"/>
                <w:color w:val="000000"/>
                <w:szCs w:val="21"/>
                <w:highlight w:val="none"/>
              </w:rPr>
              <w:t>1</w:t>
            </w:r>
          </w:p>
        </w:tc>
      </w:tr>
      <w:tr w14:paraId="3C45C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tcMar>
              <w:left w:w="108" w:type="dxa"/>
              <w:right w:w="108" w:type="dxa"/>
            </w:tcMar>
            <w:vAlign w:val="center"/>
          </w:tcPr>
          <w:p w14:paraId="3AD41442">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tcMar>
              <w:left w:w="108" w:type="dxa"/>
              <w:right w:w="108" w:type="dxa"/>
            </w:tcMar>
            <w:vAlign w:val="center"/>
          </w:tcPr>
          <w:p w14:paraId="762AA18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6696F4F4">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1075E3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177F716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6C8D29F4">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0F0D21C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040BB85B">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11A29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tcMar>
              <w:left w:w="108" w:type="dxa"/>
              <w:right w:w="108" w:type="dxa"/>
            </w:tcMar>
            <w:vAlign w:val="center"/>
          </w:tcPr>
          <w:p w14:paraId="59990F57">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tcMar>
              <w:left w:w="108" w:type="dxa"/>
              <w:right w:w="108" w:type="dxa"/>
            </w:tcMar>
            <w:vAlign w:val="center"/>
          </w:tcPr>
          <w:p w14:paraId="7B297B37">
            <w:pPr>
              <w:widowControl/>
              <w:rPr>
                <w:rFonts w:ascii="黑体" w:hAnsi="黑体" w:eastAsia="黑体"/>
                <w:szCs w:val="21"/>
              </w:rPr>
            </w:pPr>
            <w:r>
              <w:rPr>
                <w:rFonts w:hint="eastAsia" w:ascii="黑体" w:hAnsi="黑体" w:eastAsia="黑体"/>
                <w:kern w:val="0"/>
                <w:szCs w:val="21"/>
              </w:rPr>
              <w:t>（一）予以公开</w:t>
            </w:r>
          </w:p>
        </w:tc>
        <w:tc>
          <w:tcPr>
            <w:tcW w:w="752" w:type="dxa"/>
            <w:tcMar>
              <w:left w:w="108" w:type="dxa"/>
              <w:right w:w="108" w:type="dxa"/>
            </w:tcMar>
            <w:vAlign w:val="center"/>
          </w:tcPr>
          <w:p w14:paraId="6ABD2123">
            <w:pPr>
              <w:widowControl/>
              <w:spacing w:line="240" w:lineRule="exact"/>
              <w:jc w:val="center"/>
              <w:rPr>
                <w:rFonts w:ascii="仿宋_GB2312" w:eastAsia="仿宋_GB2312"/>
                <w:color w:val="000000"/>
                <w:szCs w:val="21"/>
              </w:rPr>
            </w:pPr>
            <w:r>
              <w:rPr>
                <w:rFonts w:ascii="仿宋_GB2312" w:eastAsia="仿宋_GB2312"/>
                <w:color w:val="000000"/>
                <w:szCs w:val="21"/>
              </w:rPr>
              <w:t>0</w:t>
            </w:r>
          </w:p>
        </w:tc>
        <w:tc>
          <w:tcPr>
            <w:tcW w:w="540" w:type="dxa"/>
            <w:tcMar>
              <w:left w:w="108" w:type="dxa"/>
              <w:right w:w="108" w:type="dxa"/>
            </w:tcMar>
            <w:vAlign w:val="center"/>
          </w:tcPr>
          <w:p w14:paraId="32EB54D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C1AE27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1D09277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335A608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2C676806">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6CF3537B">
            <w:pPr>
              <w:widowControl/>
              <w:spacing w:line="240" w:lineRule="exact"/>
              <w:jc w:val="center"/>
              <w:rPr>
                <w:rFonts w:ascii="仿宋_GB2312" w:eastAsia="仿宋_GB2312"/>
                <w:color w:val="000000"/>
                <w:szCs w:val="21"/>
              </w:rPr>
            </w:pPr>
            <w:r>
              <w:rPr>
                <w:rFonts w:ascii="仿宋_GB2312" w:eastAsia="仿宋_GB2312"/>
                <w:color w:val="000000"/>
                <w:szCs w:val="21"/>
              </w:rPr>
              <w:t>0</w:t>
            </w:r>
          </w:p>
        </w:tc>
      </w:tr>
      <w:tr w14:paraId="18012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14:paraId="649DD7E9">
            <w:pPr>
              <w:rPr>
                <w:rFonts w:ascii="黑体" w:hAnsi="黑体" w:eastAsia="黑体"/>
                <w:szCs w:val="21"/>
              </w:rPr>
            </w:pPr>
          </w:p>
        </w:tc>
        <w:tc>
          <w:tcPr>
            <w:tcW w:w="4672" w:type="dxa"/>
            <w:gridSpan w:val="2"/>
            <w:tcMar>
              <w:left w:w="108" w:type="dxa"/>
              <w:right w:w="108" w:type="dxa"/>
            </w:tcMar>
            <w:vAlign w:val="center"/>
          </w:tcPr>
          <w:p w14:paraId="48365E4A">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tcMar>
              <w:left w:w="108" w:type="dxa"/>
              <w:right w:w="108" w:type="dxa"/>
            </w:tcMar>
            <w:vAlign w:val="center"/>
          </w:tcPr>
          <w:p w14:paraId="579444A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E9A557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039F3F3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7E5EFF2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2AE3282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4FB2C4B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19A7F75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22E81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4FEB54FB">
            <w:pPr>
              <w:rPr>
                <w:rFonts w:ascii="黑体" w:hAnsi="黑体" w:eastAsia="黑体"/>
                <w:szCs w:val="21"/>
              </w:rPr>
            </w:pPr>
          </w:p>
        </w:tc>
        <w:tc>
          <w:tcPr>
            <w:tcW w:w="1699" w:type="dxa"/>
            <w:vMerge w:val="restart"/>
            <w:tcMar>
              <w:left w:w="108" w:type="dxa"/>
              <w:right w:w="108" w:type="dxa"/>
            </w:tcMar>
            <w:vAlign w:val="center"/>
          </w:tcPr>
          <w:p w14:paraId="5C9824AB">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3" w:type="dxa"/>
            <w:tcMar>
              <w:left w:w="108" w:type="dxa"/>
              <w:right w:w="108" w:type="dxa"/>
            </w:tcMar>
            <w:vAlign w:val="center"/>
          </w:tcPr>
          <w:p w14:paraId="14CF8A7D">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tcMar>
              <w:left w:w="108" w:type="dxa"/>
              <w:right w:w="108" w:type="dxa"/>
            </w:tcMar>
            <w:vAlign w:val="center"/>
          </w:tcPr>
          <w:p w14:paraId="7D77812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6300A32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6C15619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1DE5A3E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5AC24A2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106D568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19B4A06B">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3DA97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68E1A1E0">
            <w:pPr>
              <w:rPr>
                <w:rFonts w:ascii="黑体" w:hAnsi="黑体" w:eastAsia="黑体"/>
                <w:szCs w:val="21"/>
              </w:rPr>
            </w:pPr>
          </w:p>
        </w:tc>
        <w:tc>
          <w:tcPr>
            <w:tcW w:w="1699" w:type="dxa"/>
            <w:vMerge w:val="continue"/>
            <w:tcMar>
              <w:left w:w="108" w:type="dxa"/>
              <w:right w:w="108" w:type="dxa"/>
            </w:tcMar>
            <w:vAlign w:val="center"/>
          </w:tcPr>
          <w:p w14:paraId="1EC43AD2">
            <w:pPr>
              <w:spacing w:line="200" w:lineRule="exact"/>
              <w:rPr>
                <w:rFonts w:ascii="黑体" w:hAnsi="黑体" w:eastAsia="黑体"/>
                <w:szCs w:val="21"/>
              </w:rPr>
            </w:pPr>
          </w:p>
        </w:tc>
        <w:tc>
          <w:tcPr>
            <w:tcW w:w="2973" w:type="dxa"/>
            <w:tcMar>
              <w:left w:w="108" w:type="dxa"/>
              <w:right w:w="108" w:type="dxa"/>
            </w:tcMar>
            <w:vAlign w:val="center"/>
          </w:tcPr>
          <w:p w14:paraId="12F8A5D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tcMar>
              <w:left w:w="108" w:type="dxa"/>
              <w:right w:w="108" w:type="dxa"/>
            </w:tcMar>
            <w:vAlign w:val="center"/>
          </w:tcPr>
          <w:p w14:paraId="09989A0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CCF520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00B380D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304F75F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36B0A6F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43172DC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7D95DFF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0763A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08E966A0">
            <w:pPr>
              <w:rPr>
                <w:rFonts w:ascii="黑体" w:hAnsi="黑体" w:eastAsia="黑体"/>
                <w:szCs w:val="21"/>
              </w:rPr>
            </w:pPr>
          </w:p>
        </w:tc>
        <w:tc>
          <w:tcPr>
            <w:tcW w:w="1699" w:type="dxa"/>
            <w:vMerge w:val="continue"/>
            <w:tcMar>
              <w:left w:w="108" w:type="dxa"/>
              <w:right w:w="108" w:type="dxa"/>
            </w:tcMar>
            <w:vAlign w:val="center"/>
          </w:tcPr>
          <w:p w14:paraId="66586A08">
            <w:pPr>
              <w:spacing w:line="200" w:lineRule="exact"/>
              <w:rPr>
                <w:rFonts w:ascii="黑体" w:hAnsi="黑体" w:eastAsia="黑体"/>
                <w:szCs w:val="21"/>
              </w:rPr>
            </w:pPr>
          </w:p>
        </w:tc>
        <w:tc>
          <w:tcPr>
            <w:tcW w:w="2973" w:type="dxa"/>
            <w:tcMar>
              <w:left w:w="108" w:type="dxa"/>
              <w:right w:w="108" w:type="dxa"/>
            </w:tcMar>
            <w:vAlign w:val="center"/>
          </w:tcPr>
          <w:p w14:paraId="070DE70F">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tcMar>
              <w:left w:w="108" w:type="dxa"/>
              <w:right w:w="108" w:type="dxa"/>
            </w:tcMar>
            <w:vAlign w:val="center"/>
          </w:tcPr>
          <w:p w14:paraId="3D9160DB">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4C1234F4">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46C8010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61BF7E0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64228F0A">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6130D4E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02DD7ED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1B32F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001ACA60">
            <w:pPr>
              <w:rPr>
                <w:rFonts w:ascii="黑体" w:hAnsi="黑体" w:eastAsia="黑体"/>
                <w:szCs w:val="21"/>
              </w:rPr>
            </w:pPr>
          </w:p>
        </w:tc>
        <w:tc>
          <w:tcPr>
            <w:tcW w:w="1699" w:type="dxa"/>
            <w:vMerge w:val="continue"/>
            <w:tcMar>
              <w:left w:w="108" w:type="dxa"/>
              <w:right w:w="108" w:type="dxa"/>
            </w:tcMar>
            <w:vAlign w:val="center"/>
          </w:tcPr>
          <w:p w14:paraId="39597A09">
            <w:pPr>
              <w:spacing w:line="200" w:lineRule="exact"/>
              <w:rPr>
                <w:rFonts w:ascii="黑体" w:hAnsi="黑体" w:eastAsia="黑体"/>
                <w:szCs w:val="21"/>
              </w:rPr>
            </w:pPr>
          </w:p>
        </w:tc>
        <w:tc>
          <w:tcPr>
            <w:tcW w:w="2973" w:type="dxa"/>
            <w:tcMar>
              <w:left w:w="108" w:type="dxa"/>
              <w:right w:w="108" w:type="dxa"/>
            </w:tcMar>
            <w:vAlign w:val="center"/>
          </w:tcPr>
          <w:p w14:paraId="21E6B651">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tcMar>
              <w:left w:w="108" w:type="dxa"/>
              <w:right w:w="108" w:type="dxa"/>
            </w:tcMar>
            <w:vAlign w:val="center"/>
          </w:tcPr>
          <w:p w14:paraId="034A25BA">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6882607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4024055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6624DF2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02AC855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277D419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2E5833B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26BAE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456488E1">
            <w:pPr>
              <w:rPr>
                <w:rFonts w:ascii="黑体" w:hAnsi="黑体" w:eastAsia="黑体"/>
                <w:szCs w:val="21"/>
              </w:rPr>
            </w:pPr>
          </w:p>
        </w:tc>
        <w:tc>
          <w:tcPr>
            <w:tcW w:w="1699" w:type="dxa"/>
            <w:vMerge w:val="continue"/>
            <w:tcMar>
              <w:left w:w="108" w:type="dxa"/>
              <w:right w:w="108" w:type="dxa"/>
            </w:tcMar>
            <w:vAlign w:val="center"/>
          </w:tcPr>
          <w:p w14:paraId="3D4B0CC1">
            <w:pPr>
              <w:spacing w:line="200" w:lineRule="exact"/>
              <w:rPr>
                <w:rFonts w:ascii="黑体" w:hAnsi="黑体" w:eastAsia="黑体"/>
                <w:szCs w:val="21"/>
              </w:rPr>
            </w:pPr>
          </w:p>
        </w:tc>
        <w:tc>
          <w:tcPr>
            <w:tcW w:w="2973" w:type="dxa"/>
            <w:tcMar>
              <w:left w:w="108" w:type="dxa"/>
              <w:right w:w="108" w:type="dxa"/>
            </w:tcMar>
            <w:vAlign w:val="center"/>
          </w:tcPr>
          <w:p w14:paraId="658BE49B">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tcMar>
              <w:left w:w="108" w:type="dxa"/>
              <w:right w:w="108" w:type="dxa"/>
            </w:tcMar>
            <w:vAlign w:val="center"/>
          </w:tcPr>
          <w:p w14:paraId="0F95634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EE120AA">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31A4474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65A5B07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1BB83C3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2517093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3F65DAB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3780D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179E99B7">
            <w:pPr>
              <w:rPr>
                <w:rFonts w:ascii="黑体" w:hAnsi="黑体" w:eastAsia="黑体"/>
                <w:szCs w:val="21"/>
              </w:rPr>
            </w:pPr>
          </w:p>
        </w:tc>
        <w:tc>
          <w:tcPr>
            <w:tcW w:w="1699" w:type="dxa"/>
            <w:vMerge w:val="continue"/>
            <w:tcMar>
              <w:left w:w="108" w:type="dxa"/>
              <w:right w:w="108" w:type="dxa"/>
            </w:tcMar>
            <w:vAlign w:val="center"/>
          </w:tcPr>
          <w:p w14:paraId="42863452">
            <w:pPr>
              <w:spacing w:line="200" w:lineRule="exact"/>
              <w:rPr>
                <w:rFonts w:ascii="黑体" w:hAnsi="黑体" w:eastAsia="黑体"/>
                <w:szCs w:val="21"/>
              </w:rPr>
            </w:pPr>
          </w:p>
        </w:tc>
        <w:tc>
          <w:tcPr>
            <w:tcW w:w="2973" w:type="dxa"/>
            <w:tcMar>
              <w:left w:w="108" w:type="dxa"/>
              <w:right w:w="108" w:type="dxa"/>
            </w:tcMar>
            <w:vAlign w:val="center"/>
          </w:tcPr>
          <w:p w14:paraId="72D02F36">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tcMar>
              <w:left w:w="108" w:type="dxa"/>
              <w:right w:w="108" w:type="dxa"/>
            </w:tcMar>
            <w:vAlign w:val="center"/>
          </w:tcPr>
          <w:p w14:paraId="2A1A8CF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067FF74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331FB9F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39849D4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0AC873C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5B9EDA5B">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4F51047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309C0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3F79B66B">
            <w:pPr>
              <w:rPr>
                <w:rFonts w:ascii="黑体" w:hAnsi="黑体" w:eastAsia="黑体"/>
                <w:szCs w:val="21"/>
              </w:rPr>
            </w:pPr>
          </w:p>
        </w:tc>
        <w:tc>
          <w:tcPr>
            <w:tcW w:w="1699" w:type="dxa"/>
            <w:vMerge w:val="continue"/>
            <w:tcMar>
              <w:left w:w="108" w:type="dxa"/>
              <w:right w:w="108" w:type="dxa"/>
            </w:tcMar>
            <w:vAlign w:val="center"/>
          </w:tcPr>
          <w:p w14:paraId="028E6A49">
            <w:pPr>
              <w:spacing w:line="200" w:lineRule="exact"/>
              <w:rPr>
                <w:rFonts w:ascii="黑体" w:hAnsi="黑体" w:eastAsia="黑体"/>
                <w:szCs w:val="21"/>
              </w:rPr>
            </w:pPr>
          </w:p>
        </w:tc>
        <w:tc>
          <w:tcPr>
            <w:tcW w:w="2973" w:type="dxa"/>
            <w:tcMar>
              <w:left w:w="108" w:type="dxa"/>
              <w:right w:w="108" w:type="dxa"/>
            </w:tcMar>
            <w:vAlign w:val="center"/>
          </w:tcPr>
          <w:p w14:paraId="0BE93FAD">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tcMar>
              <w:left w:w="108" w:type="dxa"/>
              <w:right w:w="108" w:type="dxa"/>
            </w:tcMar>
            <w:vAlign w:val="center"/>
          </w:tcPr>
          <w:p w14:paraId="626A678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79AE4DB">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35CE5EB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2B3BCE36">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79529D2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7829E5B6">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62F73EA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237EF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1273C551">
            <w:pPr>
              <w:rPr>
                <w:rFonts w:ascii="黑体" w:hAnsi="黑体" w:eastAsia="黑体"/>
                <w:szCs w:val="21"/>
              </w:rPr>
            </w:pPr>
          </w:p>
        </w:tc>
        <w:tc>
          <w:tcPr>
            <w:tcW w:w="1699" w:type="dxa"/>
            <w:vMerge w:val="continue"/>
            <w:tcMar>
              <w:left w:w="108" w:type="dxa"/>
              <w:right w:w="108" w:type="dxa"/>
            </w:tcMar>
            <w:vAlign w:val="center"/>
          </w:tcPr>
          <w:p w14:paraId="3FB9B481">
            <w:pPr>
              <w:spacing w:line="200" w:lineRule="exact"/>
              <w:rPr>
                <w:rFonts w:ascii="黑体" w:hAnsi="黑体" w:eastAsia="黑体"/>
                <w:szCs w:val="21"/>
              </w:rPr>
            </w:pPr>
          </w:p>
        </w:tc>
        <w:tc>
          <w:tcPr>
            <w:tcW w:w="2973" w:type="dxa"/>
            <w:tcMar>
              <w:left w:w="108" w:type="dxa"/>
              <w:right w:w="108" w:type="dxa"/>
            </w:tcMar>
            <w:vAlign w:val="center"/>
          </w:tcPr>
          <w:p w14:paraId="18DDDE20">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tcMar>
              <w:left w:w="108" w:type="dxa"/>
              <w:right w:w="108" w:type="dxa"/>
            </w:tcMar>
            <w:vAlign w:val="center"/>
          </w:tcPr>
          <w:p w14:paraId="7196D29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855B5D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74FEE8A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1F0A306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2AB0CA5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32AC375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3CD2DA4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302D2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3DCE53F4">
            <w:pPr>
              <w:rPr>
                <w:rFonts w:ascii="黑体" w:hAnsi="黑体" w:eastAsia="黑体"/>
                <w:szCs w:val="21"/>
              </w:rPr>
            </w:pPr>
          </w:p>
        </w:tc>
        <w:tc>
          <w:tcPr>
            <w:tcW w:w="1699" w:type="dxa"/>
            <w:vMerge w:val="restart"/>
            <w:tcMar>
              <w:left w:w="108" w:type="dxa"/>
              <w:right w:w="108" w:type="dxa"/>
            </w:tcMar>
            <w:vAlign w:val="center"/>
          </w:tcPr>
          <w:p w14:paraId="06393BAE">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tcMar>
              <w:left w:w="108" w:type="dxa"/>
              <w:right w:w="108" w:type="dxa"/>
            </w:tcMar>
            <w:vAlign w:val="center"/>
          </w:tcPr>
          <w:p w14:paraId="49CE0DBC">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tcMar>
              <w:left w:w="108" w:type="dxa"/>
              <w:right w:w="108" w:type="dxa"/>
            </w:tcMar>
            <w:vAlign w:val="center"/>
          </w:tcPr>
          <w:p w14:paraId="030CB3F4">
            <w:pPr>
              <w:widowControl/>
              <w:spacing w:line="240" w:lineRule="exact"/>
              <w:jc w:val="center"/>
              <w:rPr>
                <w:rFonts w:ascii="仿宋_GB2312" w:eastAsia="仿宋_GB2312"/>
                <w:color w:val="000000"/>
                <w:szCs w:val="21"/>
              </w:rPr>
            </w:pPr>
            <w:r>
              <w:rPr>
                <w:rFonts w:hint="eastAsia" w:ascii="仿宋_GB2312" w:eastAsia="仿宋_GB2312"/>
                <w:color w:val="000000"/>
                <w:szCs w:val="21"/>
                <w:highlight w:val="none"/>
              </w:rPr>
              <w:t>1</w:t>
            </w:r>
          </w:p>
        </w:tc>
        <w:tc>
          <w:tcPr>
            <w:tcW w:w="540" w:type="dxa"/>
            <w:tcMar>
              <w:left w:w="108" w:type="dxa"/>
              <w:right w:w="108" w:type="dxa"/>
            </w:tcMar>
            <w:vAlign w:val="center"/>
          </w:tcPr>
          <w:p w14:paraId="2F5FE49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62A83EB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6BEC03B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659F6ED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774BC9E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56B6F811">
            <w:pPr>
              <w:widowControl/>
              <w:spacing w:line="240" w:lineRule="exact"/>
              <w:jc w:val="center"/>
              <w:rPr>
                <w:rFonts w:ascii="仿宋_GB2312" w:eastAsia="仿宋_GB2312"/>
                <w:color w:val="000000"/>
                <w:szCs w:val="21"/>
              </w:rPr>
            </w:pPr>
            <w:r>
              <w:rPr>
                <w:rFonts w:hint="eastAsia" w:ascii="仿宋_GB2312" w:eastAsia="仿宋_GB2312"/>
                <w:color w:val="000000"/>
                <w:szCs w:val="21"/>
                <w:highlight w:val="none"/>
              </w:rPr>
              <w:t>1</w:t>
            </w:r>
          </w:p>
        </w:tc>
      </w:tr>
      <w:tr w14:paraId="6DC8B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464F9E82">
            <w:pPr>
              <w:rPr>
                <w:rFonts w:ascii="黑体" w:hAnsi="黑体" w:eastAsia="黑体"/>
                <w:szCs w:val="21"/>
              </w:rPr>
            </w:pPr>
          </w:p>
        </w:tc>
        <w:tc>
          <w:tcPr>
            <w:tcW w:w="1699" w:type="dxa"/>
            <w:vMerge w:val="continue"/>
            <w:tcMar>
              <w:left w:w="108" w:type="dxa"/>
              <w:right w:w="108" w:type="dxa"/>
            </w:tcMar>
            <w:vAlign w:val="center"/>
          </w:tcPr>
          <w:p w14:paraId="42404E9F">
            <w:pPr>
              <w:spacing w:line="200" w:lineRule="exact"/>
              <w:ind w:left="-107" w:leftChars="-51"/>
              <w:rPr>
                <w:rFonts w:ascii="黑体" w:hAnsi="黑体" w:eastAsia="黑体"/>
                <w:szCs w:val="21"/>
              </w:rPr>
            </w:pPr>
          </w:p>
        </w:tc>
        <w:tc>
          <w:tcPr>
            <w:tcW w:w="2973" w:type="dxa"/>
            <w:tcMar>
              <w:left w:w="108" w:type="dxa"/>
              <w:right w:w="108" w:type="dxa"/>
            </w:tcMar>
            <w:vAlign w:val="center"/>
          </w:tcPr>
          <w:p w14:paraId="0096F08C">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tcMar>
              <w:left w:w="108" w:type="dxa"/>
              <w:right w:w="108" w:type="dxa"/>
            </w:tcMar>
            <w:vAlign w:val="center"/>
          </w:tcPr>
          <w:p w14:paraId="76ED10DB">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23F9836">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629AEB9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2C0AD7C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272C455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1BD429F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73782A1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4F4A6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36F1AE95">
            <w:pPr>
              <w:rPr>
                <w:rFonts w:ascii="黑体" w:hAnsi="黑体" w:eastAsia="黑体"/>
                <w:szCs w:val="21"/>
              </w:rPr>
            </w:pPr>
          </w:p>
        </w:tc>
        <w:tc>
          <w:tcPr>
            <w:tcW w:w="1699" w:type="dxa"/>
            <w:vMerge w:val="continue"/>
            <w:tcMar>
              <w:left w:w="108" w:type="dxa"/>
              <w:right w:w="108" w:type="dxa"/>
            </w:tcMar>
            <w:vAlign w:val="center"/>
          </w:tcPr>
          <w:p w14:paraId="65685112">
            <w:pPr>
              <w:spacing w:line="200" w:lineRule="exact"/>
              <w:ind w:left="-107" w:leftChars="-51"/>
              <w:rPr>
                <w:rFonts w:ascii="黑体" w:hAnsi="黑体" w:eastAsia="黑体"/>
                <w:szCs w:val="21"/>
              </w:rPr>
            </w:pPr>
          </w:p>
        </w:tc>
        <w:tc>
          <w:tcPr>
            <w:tcW w:w="2973" w:type="dxa"/>
            <w:tcMar>
              <w:left w:w="108" w:type="dxa"/>
              <w:right w:w="108" w:type="dxa"/>
            </w:tcMar>
            <w:vAlign w:val="center"/>
          </w:tcPr>
          <w:p w14:paraId="19273C49">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tcMar>
              <w:left w:w="108" w:type="dxa"/>
              <w:right w:w="108" w:type="dxa"/>
            </w:tcMar>
            <w:vAlign w:val="center"/>
          </w:tcPr>
          <w:p w14:paraId="13E4440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12B8123A">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623B55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7508986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6AF0251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54183D0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1D41EBA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2B829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76F23788">
            <w:pPr>
              <w:rPr>
                <w:rFonts w:ascii="黑体" w:hAnsi="黑体" w:eastAsia="黑体"/>
                <w:szCs w:val="21"/>
              </w:rPr>
            </w:pPr>
          </w:p>
        </w:tc>
        <w:tc>
          <w:tcPr>
            <w:tcW w:w="1699" w:type="dxa"/>
            <w:vMerge w:val="restart"/>
            <w:tcMar>
              <w:left w:w="108" w:type="dxa"/>
              <w:right w:w="108" w:type="dxa"/>
            </w:tcMar>
            <w:vAlign w:val="center"/>
          </w:tcPr>
          <w:p w14:paraId="59A98099">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3" w:type="dxa"/>
            <w:tcMar>
              <w:left w:w="108" w:type="dxa"/>
              <w:right w:w="108" w:type="dxa"/>
            </w:tcMar>
            <w:vAlign w:val="center"/>
          </w:tcPr>
          <w:p w14:paraId="4E0D20FA">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tcMar>
              <w:left w:w="108" w:type="dxa"/>
              <w:right w:w="108" w:type="dxa"/>
            </w:tcMar>
            <w:vAlign w:val="center"/>
          </w:tcPr>
          <w:p w14:paraId="18097ABF">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3A1612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339A9B6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3EB088E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0FE56D9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0096EB1B">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187B206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51906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258D3279">
            <w:pPr>
              <w:rPr>
                <w:rFonts w:ascii="黑体" w:hAnsi="黑体" w:eastAsia="黑体"/>
                <w:szCs w:val="21"/>
              </w:rPr>
            </w:pPr>
          </w:p>
        </w:tc>
        <w:tc>
          <w:tcPr>
            <w:tcW w:w="1699" w:type="dxa"/>
            <w:vMerge w:val="continue"/>
            <w:tcMar>
              <w:left w:w="108" w:type="dxa"/>
              <w:right w:w="108" w:type="dxa"/>
            </w:tcMar>
            <w:vAlign w:val="center"/>
          </w:tcPr>
          <w:p w14:paraId="655EB863">
            <w:pPr>
              <w:spacing w:line="200" w:lineRule="exact"/>
              <w:rPr>
                <w:rFonts w:ascii="黑体" w:hAnsi="黑体" w:eastAsia="黑体"/>
                <w:szCs w:val="21"/>
              </w:rPr>
            </w:pPr>
          </w:p>
        </w:tc>
        <w:tc>
          <w:tcPr>
            <w:tcW w:w="2973" w:type="dxa"/>
            <w:tcMar>
              <w:left w:w="108" w:type="dxa"/>
              <w:right w:w="108" w:type="dxa"/>
            </w:tcMar>
            <w:vAlign w:val="center"/>
          </w:tcPr>
          <w:p w14:paraId="63C22C33">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tcMar>
              <w:left w:w="108" w:type="dxa"/>
              <w:right w:w="108" w:type="dxa"/>
            </w:tcMar>
            <w:vAlign w:val="center"/>
          </w:tcPr>
          <w:p w14:paraId="7F8430C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3CA5A2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CF44AC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6DCFBAB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260FD0D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2940A5E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5CF286F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60694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tcMar>
              <w:left w:w="108" w:type="dxa"/>
              <w:right w:w="108" w:type="dxa"/>
            </w:tcMar>
            <w:vAlign w:val="center"/>
          </w:tcPr>
          <w:p w14:paraId="4D26EFCA">
            <w:pPr>
              <w:rPr>
                <w:rFonts w:ascii="黑体" w:hAnsi="黑体" w:eastAsia="黑体"/>
                <w:szCs w:val="21"/>
              </w:rPr>
            </w:pPr>
          </w:p>
        </w:tc>
        <w:tc>
          <w:tcPr>
            <w:tcW w:w="1699" w:type="dxa"/>
            <w:vMerge w:val="continue"/>
            <w:tcMar>
              <w:left w:w="108" w:type="dxa"/>
              <w:right w:w="108" w:type="dxa"/>
            </w:tcMar>
            <w:vAlign w:val="center"/>
          </w:tcPr>
          <w:p w14:paraId="1A9EBF06">
            <w:pPr>
              <w:spacing w:line="200" w:lineRule="exact"/>
              <w:rPr>
                <w:rFonts w:ascii="黑体" w:hAnsi="黑体" w:eastAsia="黑体"/>
                <w:szCs w:val="21"/>
              </w:rPr>
            </w:pPr>
          </w:p>
        </w:tc>
        <w:tc>
          <w:tcPr>
            <w:tcW w:w="2973" w:type="dxa"/>
            <w:tcMar>
              <w:left w:w="108" w:type="dxa"/>
              <w:right w:w="108" w:type="dxa"/>
            </w:tcMar>
            <w:vAlign w:val="center"/>
          </w:tcPr>
          <w:p w14:paraId="68D8DD7C">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tcMar>
              <w:left w:w="108" w:type="dxa"/>
              <w:right w:w="108" w:type="dxa"/>
            </w:tcMar>
            <w:vAlign w:val="center"/>
          </w:tcPr>
          <w:p w14:paraId="29C4536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164A3DF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0FA2BEF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51E20EC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11F2EE8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754D9E8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38CCC5E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596FF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tcMar>
              <w:left w:w="108" w:type="dxa"/>
              <w:right w:w="108" w:type="dxa"/>
            </w:tcMar>
            <w:vAlign w:val="center"/>
          </w:tcPr>
          <w:p w14:paraId="012ACC3F">
            <w:pPr>
              <w:rPr>
                <w:rFonts w:ascii="黑体" w:hAnsi="黑体" w:eastAsia="黑体"/>
                <w:szCs w:val="21"/>
              </w:rPr>
            </w:pPr>
          </w:p>
        </w:tc>
        <w:tc>
          <w:tcPr>
            <w:tcW w:w="1699" w:type="dxa"/>
            <w:vMerge w:val="continue"/>
            <w:tcMar>
              <w:left w:w="108" w:type="dxa"/>
              <w:right w:w="108" w:type="dxa"/>
            </w:tcMar>
            <w:vAlign w:val="center"/>
          </w:tcPr>
          <w:p w14:paraId="68204597">
            <w:pPr>
              <w:spacing w:line="200" w:lineRule="exact"/>
              <w:rPr>
                <w:rFonts w:ascii="黑体" w:hAnsi="黑体" w:eastAsia="黑体"/>
                <w:szCs w:val="21"/>
              </w:rPr>
            </w:pPr>
          </w:p>
        </w:tc>
        <w:tc>
          <w:tcPr>
            <w:tcW w:w="2973" w:type="dxa"/>
            <w:tcMar>
              <w:left w:w="108" w:type="dxa"/>
              <w:right w:w="108" w:type="dxa"/>
            </w:tcMar>
            <w:vAlign w:val="center"/>
          </w:tcPr>
          <w:p w14:paraId="1C059BC9">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tcMar>
              <w:left w:w="108" w:type="dxa"/>
              <w:right w:w="108" w:type="dxa"/>
            </w:tcMar>
            <w:vAlign w:val="center"/>
          </w:tcPr>
          <w:p w14:paraId="6146981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2DF6774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15308CB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4666607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7DCA616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07ABC32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3C26BC0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3A38B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14:paraId="76145E7D">
            <w:pPr>
              <w:rPr>
                <w:rFonts w:ascii="黑体" w:hAnsi="黑体" w:eastAsia="黑体"/>
                <w:szCs w:val="21"/>
              </w:rPr>
            </w:pPr>
          </w:p>
        </w:tc>
        <w:tc>
          <w:tcPr>
            <w:tcW w:w="1699" w:type="dxa"/>
            <w:vMerge w:val="continue"/>
            <w:tcMar>
              <w:left w:w="108" w:type="dxa"/>
              <w:right w:w="108" w:type="dxa"/>
            </w:tcMar>
            <w:vAlign w:val="center"/>
          </w:tcPr>
          <w:p w14:paraId="60343B7E">
            <w:pPr>
              <w:spacing w:line="200" w:lineRule="exact"/>
              <w:rPr>
                <w:rFonts w:ascii="黑体" w:hAnsi="黑体" w:eastAsia="黑体"/>
                <w:szCs w:val="21"/>
              </w:rPr>
            </w:pPr>
          </w:p>
        </w:tc>
        <w:tc>
          <w:tcPr>
            <w:tcW w:w="2973" w:type="dxa"/>
            <w:tcMar>
              <w:left w:w="108" w:type="dxa"/>
              <w:right w:w="108" w:type="dxa"/>
            </w:tcMar>
            <w:vAlign w:val="center"/>
          </w:tcPr>
          <w:p w14:paraId="216C2483">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57C83605">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tcMar>
              <w:left w:w="108" w:type="dxa"/>
              <w:right w:w="108" w:type="dxa"/>
            </w:tcMar>
            <w:vAlign w:val="center"/>
          </w:tcPr>
          <w:p w14:paraId="6F6A01A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30117AA4">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59228C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3932410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7DBA45B4">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466F1C9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30C9009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30FC9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14:paraId="795063AE">
            <w:pPr>
              <w:rPr>
                <w:rFonts w:ascii="黑体" w:hAnsi="黑体" w:eastAsia="黑体"/>
                <w:szCs w:val="21"/>
              </w:rPr>
            </w:pPr>
          </w:p>
        </w:tc>
        <w:tc>
          <w:tcPr>
            <w:tcW w:w="1699" w:type="dxa"/>
            <w:vMerge w:val="restart"/>
            <w:tcMar>
              <w:left w:w="108" w:type="dxa"/>
              <w:right w:w="108" w:type="dxa"/>
            </w:tcMar>
            <w:vAlign w:val="center"/>
          </w:tcPr>
          <w:p w14:paraId="318128BE">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vAlign w:val="center"/>
          </w:tcPr>
          <w:p w14:paraId="16A24EFD">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tcMar>
              <w:left w:w="108" w:type="dxa"/>
              <w:right w:w="108" w:type="dxa"/>
            </w:tcMar>
            <w:vAlign w:val="center"/>
          </w:tcPr>
          <w:p w14:paraId="01EBE77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42FE60A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7D04ACB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43561FB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6D1C09D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5547AFE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3B23CA6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1002F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14:paraId="1D92AFB2">
            <w:pPr>
              <w:rPr>
                <w:rFonts w:ascii="黑体" w:hAnsi="黑体" w:eastAsia="黑体"/>
                <w:szCs w:val="21"/>
              </w:rPr>
            </w:pPr>
          </w:p>
        </w:tc>
        <w:tc>
          <w:tcPr>
            <w:tcW w:w="1699" w:type="dxa"/>
            <w:vMerge w:val="continue"/>
            <w:tcMar>
              <w:left w:w="108" w:type="dxa"/>
              <w:right w:w="108" w:type="dxa"/>
            </w:tcMar>
            <w:vAlign w:val="center"/>
          </w:tcPr>
          <w:p w14:paraId="7B809D21">
            <w:pPr>
              <w:widowControl/>
              <w:spacing w:line="300" w:lineRule="exact"/>
              <w:rPr>
                <w:rFonts w:ascii="黑体" w:hAnsi="黑体" w:eastAsia="黑体"/>
                <w:kern w:val="0"/>
                <w:szCs w:val="21"/>
              </w:rPr>
            </w:pPr>
          </w:p>
        </w:tc>
        <w:tc>
          <w:tcPr>
            <w:tcW w:w="2973" w:type="dxa"/>
            <w:vAlign w:val="center"/>
          </w:tcPr>
          <w:p w14:paraId="38C545BC">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tcMar>
              <w:left w:w="108" w:type="dxa"/>
              <w:right w:w="108" w:type="dxa"/>
            </w:tcMar>
            <w:vAlign w:val="center"/>
          </w:tcPr>
          <w:p w14:paraId="6289DBA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093A1574">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32171A4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6E5BA6A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3EEA701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3413EF8A">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1DACEA0D">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5AE72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14:paraId="7B8AFB2B">
            <w:pPr>
              <w:rPr>
                <w:rFonts w:ascii="黑体" w:hAnsi="黑体" w:eastAsia="黑体"/>
                <w:szCs w:val="21"/>
              </w:rPr>
            </w:pPr>
          </w:p>
        </w:tc>
        <w:tc>
          <w:tcPr>
            <w:tcW w:w="1699" w:type="dxa"/>
            <w:vMerge w:val="continue"/>
            <w:tcMar>
              <w:left w:w="108" w:type="dxa"/>
              <w:right w:w="108" w:type="dxa"/>
            </w:tcMar>
            <w:vAlign w:val="center"/>
          </w:tcPr>
          <w:p w14:paraId="2E83C094">
            <w:pPr>
              <w:widowControl/>
              <w:spacing w:line="300" w:lineRule="exact"/>
              <w:rPr>
                <w:rFonts w:ascii="黑体" w:hAnsi="黑体" w:eastAsia="黑体"/>
                <w:kern w:val="0"/>
                <w:szCs w:val="21"/>
              </w:rPr>
            </w:pPr>
          </w:p>
        </w:tc>
        <w:tc>
          <w:tcPr>
            <w:tcW w:w="2973" w:type="dxa"/>
            <w:vAlign w:val="center"/>
          </w:tcPr>
          <w:p w14:paraId="4A3CF25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tcMar>
              <w:left w:w="108" w:type="dxa"/>
              <w:right w:w="108" w:type="dxa"/>
            </w:tcMar>
            <w:vAlign w:val="center"/>
          </w:tcPr>
          <w:p w14:paraId="6152284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3E3A8A6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038F5E2C">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261A786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0AF5565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445C132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77B4F630">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r w14:paraId="1EAD6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Mar>
              <w:left w:w="108" w:type="dxa"/>
              <w:right w:w="108" w:type="dxa"/>
            </w:tcMar>
            <w:vAlign w:val="center"/>
          </w:tcPr>
          <w:p w14:paraId="6176F22A">
            <w:pPr>
              <w:rPr>
                <w:rFonts w:ascii="黑体" w:hAnsi="黑体" w:eastAsia="黑体"/>
                <w:szCs w:val="21"/>
              </w:rPr>
            </w:pPr>
          </w:p>
        </w:tc>
        <w:tc>
          <w:tcPr>
            <w:tcW w:w="4672" w:type="dxa"/>
            <w:gridSpan w:val="2"/>
            <w:tcMar>
              <w:left w:w="108" w:type="dxa"/>
              <w:right w:w="108" w:type="dxa"/>
            </w:tcMar>
            <w:vAlign w:val="center"/>
          </w:tcPr>
          <w:p w14:paraId="2D4B57A4">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tcMar>
              <w:left w:w="108" w:type="dxa"/>
              <w:right w:w="108" w:type="dxa"/>
            </w:tcMar>
            <w:vAlign w:val="center"/>
          </w:tcPr>
          <w:p w14:paraId="427A2F8D">
            <w:pPr>
              <w:widowControl/>
              <w:spacing w:line="240" w:lineRule="exact"/>
              <w:jc w:val="center"/>
              <w:rPr>
                <w:rFonts w:hint="eastAsia" w:ascii="仿宋_GB2312" w:eastAsia="仿宋_GB2312"/>
                <w:color w:val="000000"/>
                <w:szCs w:val="21"/>
                <w:lang w:eastAsia="zh-CN"/>
              </w:rPr>
            </w:pPr>
            <w:r>
              <w:rPr>
                <w:rFonts w:hint="eastAsia" w:ascii="仿宋_GB2312" w:eastAsia="仿宋_GB2312"/>
                <w:color w:val="000000"/>
                <w:szCs w:val="21"/>
                <w:highlight w:val="none"/>
                <w:lang w:val="en-US" w:eastAsia="zh-CN"/>
              </w:rPr>
              <w:t>1</w:t>
            </w:r>
          </w:p>
        </w:tc>
        <w:tc>
          <w:tcPr>
            <w:tcW w:w="540" w:type="dxa"/>
            <w:tcMar>
              <w:left w:w="108" w:type="dxa"/>
              <w:right w:w="108" w:type="dxa"/>
            </w:tcMar>
            <w:vAlign w:val="center"/>
          </w:tcPr>
          <w:p w14:paraId="41B83FE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C1D006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1772A8CE">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733D45A8">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5AA4AD02">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43DC0803">
            <w:pPr>
              <w:widowControl/>
              <w:spacing w:line="240" w:lineRule="exact"/>
              <w:jc w:val="center"/>
              <w:rPr>
                <w:rFonts w:hint="eastAsia" w:ascii="仿宋_GB2312" w:eastAsia="仿宋_GB2312"/>
                <w:color w:val="000000"/>
                <w:szCs w:val="21"/>
                <w:lang w:eastAsia="zh-CN"/>
              </w:rPr>
            </w:pPr>
            <w:r>
              <w:rPr>
                <w:rFonts w:hint="eastAsia" w:ascii="仿宋_GB2312" w:eastAsia="仿宋_GB2312"/>
                <w:color w:val="000000"/>
                <w:szCs w:val="21"/>
                <w:highlight w:val="none"/>
                <w:lang w:val="en-US" w:eastAsia="zh-CN"/>
              </w:rPr>
              <w:t>1</w:t>
            </w:r>
          </w:p>
        </w:tc>
      </w:tr>
      <w:tr w14:paraId="69857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tcMar>
              <w:left w:w="108" w:type="dxa"/>
              <w:right w:w="108" w:type="dxa"/>
            </w:tcMar>
            <w:vAlign w:val="center"/>
          </w:tcPr>
          <w:p w14:paraId="76E066CC">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tcMar>
              <w:left w:w="108" w:type="dxa"/>
              <w:right w:w="108" w:type="dxa"/>
            </w:tcMar>
            <w:vAlign w:val="center"/>
          </w:tcPr>
          <w:p w14:paraId="6CCC96B5">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40E914C1">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40" w:type="dxa"/>
            <w:tcMar>
              <w:left w:w="108" w:type="dxa"/>
              <w:right w:w="108" w:type="dxa"/>
            </w:tcMar>
            <w:vAlign w:val="center"/>
          </w:tcPr>
          <w:p w14:paraId="5CB5D309">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20" w:type="dxa"/>
            <w:tcMar>
              <w:left w:w="108" w:type="dxa"/>
              <w:right w:w="108" w:type="dxa"/>
            </w:tcMar>
            <w:vAlign w:val="center"/>
          </w:tcPr>
          <w:p w14:paraId="2CF490E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675" w:type="dxa"/>
            <w:tcMar>
              <w:left w:w="108" w:type="dxa"/>
              <w:right w:w="108" w:type="dxa"/>
            </w:tcMar>
            <w:vAlign w:val="center"/>
          </w:tcPr>
          <w:p w14:paraId="7D976B2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526" w:type="dxa"/>
            <w:tcMar>
              <w:left w:w="108" w:type="dxa"/>
              <w:right w:w="108" w:type="dxa"/>
            </w:tcMar>
            <w:vAlign w:val="center"/>
          </w:tcPr>
          <w:p w14:paraId="773659E7">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c>
          <w:tcPr>
            <w:tcW w:w="701" w:type="dxa"/>
            <w:tcMar>
              <w:left w:w="108" w:type="dxa"/>
              <w:right w:w="108" w:type="dxa"/>
            </w:tcMar>
            <w:vAlign w:val="center"/>
          </w:tcPr>
          <w:p w14:paraId="4F77D4C3">
            <w:pPr>
              <w:widowControl/>
              <w:spacing w:line="240" w:lineRule="exact"/>
              <w:jc w:val="center"/>
              <w:rPr>
                <w:rFonts w:ascii="仿宋_GB2312" w:eastAsia="仿宋_GB2312"/>
                <w:color w:val="000000"/>
                <w:szCs w:val="21"/>
              </w:rPr>
            </w:pPr>
            <w:r>
              <w:rPr>
                <w:rFonts w:hint="eastAsia" w:ascii="仿宋_GB2312" w:eastAsia="仿宋_GB2312"/>
                <w:color w:val="000000"/>
                <w:szCs w:val="21"/>
              </w:rPr>
              <w:t>0</w:t>
            </w:r>
          </w:p>
        </w:tc>
      </w:tr>
    </w:tbl>
    <w:p w14:paraId="239642C7">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政府信息公开行政复议、行政诉讼情况</w:t>
      </w:r>
    </w:p>
    <w:tbl>
      <w:tblPr>
        <w:tblStyle w:val="5"/>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393C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jc w:val="center"/>
        </w:trPr>
        <w:tc>
          <w:tcPr>
            <w:tcW w:w="3074" w:type="dxa"/>
            <w:gridSpan w:val="5"/>
            <w:tcMar>
              <w:left w:w="108" w:type="dxa"/>
              <w:right w:w="108" w:type="dxa"/>
            </w:tcMar>
            <w:vAlign w:val="center"/>
          </w:tcPr>
          <w:p w14:paraId="421A61DE">
            <w:pPr>
              <w:widowControl/>
              <w:jc w:val="center"/>
              <w:rPr>
                <w:rFonts w:ascii="黑体" w:hAnsi="黑体" w:eastAsia="黑体"/>
              </w:rPr>
            </w:pPr>
            <w:r>
              <w:rPr>
                <w:rFonts w:ascii="黑体" w:hAnsi="黑体" w:eastAsia="黑体"/>
                <w:kern w:val="0"/>
                <w:sz w:val="20"/>
              </w:rPr>
              <w:t>行政复议</w:t>
            </w:r>
          </w:p>
        </w:tc>
        <w:tc>
          <w:tcPr>
            <w:tcW w:w="5997" w:type="dxa"/>
            <w:gridSpan w:val="10"/>
            <w:tcMar>
              <w:left w:w="108" w:type="dxa"/>
              <w:right w:w="108" w:type="dxa"/>
            </w:tcMar>
            <w:vAlign w:val="center"/>
          </w:tcPr>
          <w:p w14:paraId="0A141E5F">
            <w:pPr>
              <w:widowControl/>
              <w:jc w:val="center"/>
              <w:rPr>
                <w:rFonts w:ascii="黑体" w:hAnsi="黑体" w:eastAsia="黑体"/>
              </w:rPr>
            </w:pPr>
            <w:r>
              <w:rPr>
                <w:rFonts w:ascii="黑体" w:hAnsi="黑体" w:eastAsia="黑体"/>
                <w:kern w:val="0"/>
                <w:sz w:val="20"/>
              </w:rPr>
              <w:t>行政诉讼</w:t>
            </w:r>
          </w:p>
        </w:tc>
      </w:tr>
      <w:tr w14:paraId="60730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jc w:val="center"/>
        </w:trPr>
        <w:tc>
          <w:tcPr>
            <w:tcW w:w="604" w:type="dxa"/>
            <w:vMerge w:val="restart"/>
            <w:tcMar>
              <w:left w:w="108" w:type="dxa"/>
              <w:right w:w="108" w:type="dxa"/>
            </w:tcMar>
            <w:vAlign w:val="center"/>
          </w:tcPr>
          <w:p w14:paraId="7F8ABCA5">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14:paraId="12B59196">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Mar>
              <w:left w:w="108" w:type="dxa"/>
              <w:right w:w="108" w:type="dxa"/>
            </w:tcMar>
            <w:vAlign w:val="center"/>
          </w:tcPr>
          <w:p w14:paraId="54029D46">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Mar>
              <w:left w:w="108" w:type="dxa"/>
              <w:right w:w="108" w:type="dxa"/>
            </w:tcMar>
            <w:vAlign w:val="center"/>
          </w:tcPr>
          <w:p w14:paraId="2B372545">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Mar>
              <w:left w:w="108" w:type="dxa"/>
              <w:right w:w="108" w:type="dxa"/>
            </w:tcMar>
            <w:vAlign w:val="center"/>
          </w:tcPr>
          <w:p w14:paraId="39B0ED14">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14:paraId="33392F23">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Mar>
              <w:left w:w="108" w:type="dxa"/>
              <w:right w:w="108" w:type="dxa"/>
            </w:tcMar>
            <w:vAlign w:val="center"/>
          </w:tcPr>
          <w:p w14:paraId="75685B6E">
            <w:pPr>
              <w:widowControl/>
              <w:spacing w:line="320" w:lineRule="exact"/>
              <w:jc w:val="center"/>
              <w:rPr>
                <w:rFonts w:ascii="黑体" w:hAnsi="黑体" w:eastAsia="黑体"/>
                <w:kern w:val="0"/>
                <w:sz w:val="20"/>
              </w:rPr>
            </w:pPr>
            <w:r>
              <w:rPr>
                <w:rFonts w:ascii="黑体" w:hAnsi="黑体" w:eastAsia="黑体"/>
                <w:kern w:val="0"/>
                <w:sz w:val="20"/>
              </w:rPr>
              <w:t>总</w:t>
            </w:r>
          </w:p>
          <w:p w14:paraId="6FD5EFA8">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Mar>
              <w:left w:w="108" w:type="dxa"/>
              <w:right w:w="108" w:type="dxa"/>
            </w:tcMar>
            <w:vAlign w:val="center"/>
          </w:tcPr>
          <w:p w14:paraId="21188645">
            <w:pPr>
              <w:widowControl/>
              <w:jc w:val="center"/>
              <w:rPr>
                <w:rFonts w:ascii="黑体" w:hAnsi="黑体" w:eastAsia="黑体"/>
              </w:rPr>
            </w:pPr>
            <w:r>
              <w:rPr>
                <w:rFonts w:ascii="黑体" w:hAnsi="黑体" w:eastAsia="黑体"/>
                <w:kern w:val="0"/>
                <w:sz w:val="20"/>
              </w:rPr>
              <w:t>未经复议直接起诉</w:t>
            </w:r>
          </w:p>
        </w:tc>
        <w:tc>
          <w:tcPr>
            <w:tcW w:w="3027" w:type="dxa"/>
            <w:gridSpan w:val="5"/>
            <w:tcMar>
              <w:left w:w="108" w:type="dxa"/>
              <w:right w:w="108" w:type="dxa"/>
            </w:tcMar>
            <w:vAlign w:val="center"/>
          </w:tcPr>
          <w:p w14:paraId="5B6DC306">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63E43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jc w:val="center"/>
        </w:trPr>
        <w:tc>
          <w:tcPr>
            <w:tcW w:w="604" w:type="dxa"/>
            <w:vMerge w:val="continue"/>
            <w:tcMar>
              <w:left w:w="108" w:type="dxa"/>
              <w:right w:w="108" w:type="dxa"/>
            </w:tcMar>
            <w:vAlign w:val="center"/>
          </w:tcPr>
          <w:p w14:paraId="5DB530BB">
            <w:pPr>
              <w:rPr>
                <w:rFonts w:ascii="黑体" w:hAnsi="黑体" w:eastAsia="黑体"/>
                <w:sz w:val="24"/>
              </w:rPr>
            </w:pPr>
          </w:p>
        </w:tc>
        <w:tc>
          <w:tcPr>
            <w:tcW w:w="604" w:type="dxa"/>
            <w:vMerge w:val="continue"/>
            <w:tcMar>
              <w:left w:w="108" w:type="dxa"/>
              <w:right w:w="108" w:type="dxa"/>
            </w:tcMar>
            <w:vAlign w:val="center"/>
          </w:tcPr>
          <w:p w14:paraId="0FEA8BDD">
            <w:pPr>
              <w:rPr>
                <w:rFonts w:ascii="黑体" w:hAnsi="黑体" w:eastAsia="黑体"/>
                <w:sz w:val="24"/>
              </w:rPr>
            </w:pPr>
          </w:p>
        </w:tc>
        <w:tc>
          <w:tcPr>
            <w:tcW w:w="604" w:type="dxa"/>
            <w:vMerge w:val="continue"/>
            <w:tcMar>
              <w:left w:w="108" w:type="dxa"/>
              <w:right w:w="108" w:type="dxa"/>
            </w:tcMar>
            <w:vAlign w:val="center"/>
          </w:tcPr>
          <w:p w14:paraId="50395E7A">
            <w:pPr>
              <w:rPr>
                <w:rFonts w:ascii="黑体" w:hAnsi="黑体" w:eastAsia="黑体"/>
                <w:sz w:val="24"/>
              </w:rPr>
            </w:pPr>
          </w:p>
        </w:tc>
        <w:tc>
          <w:tcPr>
            <w:tcW w:w="604" w:type="dxa"/>
            <w:vMerge w:val="continue"/>
            <w:tcMar>
              <w:left w:w="108" w:type="dxa"/>
              <w:right w:w="108" w:type="dxa"/>
            </w:tcMar>
            <w:vAlign w:val="center"/>
          </w:tcPr>
          <w:p w14:paraId="5EFBBEB3">
            <w:pPr>
              <w:rPr>
                <w:rFonts w:ascii="黑体" w:hAnsi="黑体" w:eastAsia="黑体"/>
                <w:sz w:val="24"/>
              </w:rPr>
            </w:pPr>
          </w:p>
        </w:tc>
        <w:tc>
          <w:tcPr>
            <w:tcW w:w="658" w:type="dxa"/>
            <w:vMerge w:val="continue"/>
            <w:tcMar>
              <w:left w:w="108" w:type="dxa"/>
              <w:right w:w="108" w:type="dxa"/>
            </w:tcMar>
            <w:vAlign w:val="center"/>
          </w:tcPr>
          <w:p w14:paraId="1E33128B">
            <w:pPr>
              <w:rPr>
                <w:rFonts w:ascii="黑体" w:hAnsi="黑体" w:eastAsia="黑体"/>
                <w:sz w:val="24"/>
              </w:rPr>
            </w:pPr>
          </w:p>
        </w:tc>
        <w:tc>
          <w:tcPr>
            <w:tcW w:w="550" w:type="dxa"/>
            <w:tcMar>
              <w:left w:w="108" w:type="dxa"/>
              <w:right w:w="108" w:type="dxa"/>
            </w:tcMar>
            <w:vAlign w:val="center"/>
          </w:tcPr>
          <w:p w14:paraId="2120BB0D">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Mar>
              <w:left w:w="108" w:type="dxa"/>
              <w:right w:w="108" w:type="dxa"/>
            </w:tcMar>
            <w:vAlign w:val="center"/>
          </w:tcPr>
          <w:p w14:paraId="7B1A53DA">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Mar>
              <w:left w:w="108" w:type="dxa"/>
              <w:right w:w="108" w:type="dxa"/>
            </w:tcMar>
            <w:vAlign w:val="center"/>
          </w:tcPr>
          <w:p w14:paraId="0998EBE7">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14:paraId="7D851475">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Mar>
              <w:left w:w="108" w:type="dxa"/>
              <w:right w:w="108" w:type="dxa"/>
            </w:tcMar>
            <w:vAlign w:val="center"/>
          </w:tcPr>
          <w:p w14:paraId="04EE10C9">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14:paraId="67AFC45C">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Mar>
              <w:left w:w="108" w:type="dxa"/>
              <w:right w:w="108" w:type="dxa"/>
            </w:tcMar>
            <w:vAlign w:val="center"/>
          </w:tcPr>
          <w:p w14:paraId="24D68D03">
            <w:pPr>
              <w:widowControl/>
              <w:jc w:val="center"/>
              <w:rPr>
                <w:rFonts w:ascii="黑体" w:hAnsi="黑体" w:eastAsia="黑体"/>
              </w:rPr>
            </w:pPr>
            <w:r>
              <w:rPr>
                <w:rFonts w:ascii="黑体" w:hAnsi="黑体" w:eastAsia="黑体"/>
                <w:kern w:val="0"/>
                <w:sz w:val="20"/>
              </w:rPr>
              <w:t>总计</w:t>
            </w:r>
          </w:p>
        </w:tc>
        <w:tc>
          <w:tcPr>
            <w:tcW w:w="605" w:type="dxa"/>
            <w:tcMar>
              <w:left w:w="108" w:type="dxa"/>
              <w:right w:w="108" w:type="dxa"/>
            </w:tcMar>
            <w:vAlign w:val="center"/>
          </w:tcPr>
          <w:p w14:paraId="7EED02D1">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Mar>
              <w:left w:w="108" w:type="dxa"/>
              <w:right w:w="108" w:type="dxa"/>
            </w:tcMar>
            <w:vAlign w:val="center"/>
          </w:tcPr>
          <w:p w14:paraId="64D6702B">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14:paraId="304A5778">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Mar>
              <w:left w:w="108" w:type="dxa"/>
              <w:right w:w="108" w:type="dxa"/>
            </w:tcMar>
            <w:vAlign w:val="center"/>
          </w:tcPr>
          <w:p w14:paraId="13E8D1FF">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3AFD381B">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Mar>
              <w:left w:w="108" w:type="dxa"/>
              <w:right w:w="108" w:type="dxa"/>
            </w:tcMar>
            <w:vAlign w:val="center"/>
          </w:tcPr>
          <w:p w14:paraId="3D165023">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Mar>
              <w:left w:w="108" w:type="dxa"/>
              <w:right w:w="108" w:type="dxa"/>
            </w:tcMar>
            <w:vAlign w:val="center"/>
          </w:tcPr>
          <w:p w14:paraId="79C2C55C">
            <w:pPr>
              <w:widowControl/>
              <w:jc w:val="center"/>
              <w:rPr>
                <w:rFonts w:ascii="黑体" w:hAnsi="黑体" w:eastAsia="黑体"/>
              </w:rPr>
            </w:pPr>
            <w:r>
              <w:rPr>
                <w:rFonts w:ascii="黑体" w:hAnsi="黑体" w:eastAsia="黑体"/>
                <w:kern w:val="0"/>
                <w:sz w:val="20"/>
              </w:rPr>
              <w:t>总计</w:t>
            </w:r>
          </w:p>
        </w:tc>
      </w:tr>
      <w:tr w14:paraId="0F8AD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604" w:type="dxa"/>
            <w:tcMar>
              <w:left w:w="108" w:type="dxa"/>
              <w:right w:w="108" w:type="dxa"/>
            </w:tcMar>
            <w:vAlign w:val="center"/>
          </w:tcPr>
          <w:p w14:paraId="0D43C96B">
            <w:pPr>
              <w:widowControl/>
              <w:spacing w:after="180"/>
              <w:jc w:val="center"/>
            </w:pPr>
            <w:r>
              <w:rPr>
                <w:rFonts w:hint="eastAsia"/>
              </w:rPr>
              <w:t>0</w:t>
            </w:r>
          </w:p>
        </w:tc>
        <w:tc>
          <w:tcPr>
            <w:tcW w:w="604" w:type="dxa"/>
            <w:tcMar>
              <w:left w:w="108" w:type="dxa"/>
              <w:right w:w="108" w:type="dxa"/>
            </w:tcMar>
            <w:vAlign w:val="center"/>
          </w:tcPr>
          <w:p w14:paraId="3267E36A">
            <w:pPr>
              <w:widowControl/>
              <w:spacing w:after="180"/>
              <w:jc w:val="center"/>
            </w:pPr>
            <w:r>
              <w:rPr>
                <w:rFonts w:hint="eastAsia"/>
              </w:rPr>
              <w:t>0</w:t>
            </w:r>
          </w:p>
        </w:tc>
        <w:tc>
          <w:tcPr>
            <w:tcW w:w="604" w:type="dxa"/>
            <w:tcMar>
              <w:left w:w="108" w:type="dxa"/>
              <w:right w:w="108" w:type="dxa"/>
            </w:tcMar>
            <w:vAlign w:val="center"/>
          </w:tcPr>
          <w:p w14:paraId="3936CCC4">
            <w:pPr>
              <w:widowControl/>
              <w:spacing w:after="180"/>
              <w:jc w:val="center"/>
            </w:pPr>
            <w:r>
              <w:rPr>
                <w:rFonts w:hint="eastAsia"/>
              </w:rPr>
              <w:t>0</w:t>
            </w:r>
          </w:p>
        </w:tc>
        <w:tc>
          <w:tcPr>
            <w:tcW w:w="604" w:type="dxa"/>
            <w:tcMar>
              <w:left w:w="108" w:type="dxa"/>
              <w:right w:w="108" w:type="dxa"/>
            </w:tcMar>
            <w:vAlign w:val="center"/>
          </w:tcPr>
          <w:p w14:paraId="3FCC5AC8">
            <w:pPr>
              <w:widowControl/>
              <w:spacing w:after="180"/>
              <w:jc w:val="center"/>
            </w:pPr>
            <w:r>
              <w:rPr>
                <w:rFonts w:hint="eastAsia"/>
              </w:rPr>
              <w:t>0</w:t>
            </w:r>
          </w:p>
        </w:tc>
        <w:tc>
          <w:tcPr>
            <w:tcW w:w="658" w:type="dxa"/>
            <w:tcMar>
              <w:left w:w="108" w:type="dxa"/>
              <w:right w:w="108" w:type="dxa"/>
            </w:tcMar>
            <w:vAlign w:val="center"/>
          </w:tcPr>
          <w:p w14:paraId="16163C42">
            <w:pPr>
              <w:widowControl/>
              <w:spacing w:after="180"/>
              <w:jc w:val="center"/>
            </w:pPr>
            <w:r>
              <w:rPr>
                <w:rFonts w:hint="eastAsia"/>
              </w:rPr>
              <w:t>0</w:t>
            </w:r>
          </w:p>
        </w:tc>
        <w:tc>
          <w:tcPr>
            <w:tcW w:w="550" w:type="dxa"/>
            <w:tcMar>
              <w:left w:w="108" w:type="dxa"/>
              <w:right w:w="108" w:type="dxa"/>
            </w:tcMar>
            <w:vAlign w:val="center"/>
          </w:tcPr>
          <w:p w14:paraId="5AAECAD9">
            <w:pPr>
              <w:widowControl/>
              <w:spacing w:after="180"/>
              <w:jc w:val="center"/>
            </w:pPr>
            <w:r>
              <w:rPr>
                <w:rFonts w:hint="eastAsia"/>
              </w:rPr>
              <w:t>0</w:t>
            </w:r>
          </w:p>
        </w:tc>
        <w:tc>
          <w:tcPr>
            <w:tcW w:w="605" w:type="dxa"/>
            <w:tcMar>
              <w:left w:w="108" w:type="dxa"/>
              <w:right w:w="108" w:type="dxa"/>
            </w:tcMar>
            <w:vAlign w:val="center"/>
          </w:tcPr>
          <w:p w14:paraId="609CD649">
            <w:pPr>
              <w:widowControl/>
              <w:spacing w:after="180"/>
              <w:jc w:val="center"/>
            </w:pPr>
            <w:r>
              <w:rPr>
                <w:rFonts w:hint="eastAsia"/>
              </w:rPr>
              <w:t>0</w:t>
            </w:r>
          </w:p>
        </w:tc>
        <w:tc>
          <w:tcPr>
            <w:tcW w:w="605" w:type="dxa"/>
            <w:tcMar>
              <w:left w:w="108" w:type="dxa"/>
              <w:right w:w="108" w:type="dxa"/>
            </w:tcMar>
            <w:vAlign w:val="center"/>
          </w:tcPr>
          <w:p w14:paraId="7DD64A1B">
            <w:pPr>
              <w:widowControl/>
              <w:spacing w:after="180"/>
              <w:jc w:val="center"/>
            </w:pPr>
            <w:r>
              <w:rPr>
                <w:rFonts w:hint="eastAsia"/>
              </w:rPr>
              <w:t>0</w:t>
            </w:r>
          </w:p>
        </w:tc>
        <w:tc>
          <w:tcPr>
            <w:tcW w:w="605" w:type="dxa"/>
            <w:tcMar>
              <w:left w:w="108" w:type="dxa"/>
              <w:right w:w="108" w:type="dxa"/>
            </w:tcMar>
            <w:vAlign w:val="center"/>
          </w:tcPr>
          <w:p w14:paraId="2E558B55">
            <w:pPr>
              <w:widowControl/>
              <w:spacing w:after="180"/>
              <w:jc w:val="center"/>
            </w:pPr>
            <w:r>
              <w:rPr>
                <w:rFonts w:hint="eastAsia"/>
              </w:rPr>
              <w:t>0</w:t>
            </w:r>
          </w:p>
        </w:tc>
        <w:tc>
          <w:tcPr>
            <w:tcW w:w="605" w:type="dxa"/>
            <w:tcMar>
              <w:left w:w="108" w:type="dxa"/>
              <w:right w:w="108" w:type="dxa"/>
            </w:tcMar>
            <w:vAlign w:val="center"/>
          </w:tcPr>
          <w:p w14:paraId="25D31F0B">
            <w:pPr>
              <w:widowControl/>
              <w:spacing w:after="180"/>
              <w:jc w:val="center"/>
            </w:pPr>
            <w:r>
              <w:rPr>
                <w:rFonts w:hint="eastAsia"/>
              </w:rPr>
              <w:t>0</w:t>
            </w:r>
          </w:p>
        </w:tc>
        <w:tc>
          <w:tcPr>
            <w:tcW w:w="605" w:type="dxa"/>
            <w:tcMar>
              <w:left w:w="108" w:type="dxa"/>
              <w:right w:w="108" w:type="dxa"/>
            </w:tcMar>
            <w:vAlign w:val="center"/>
          </w:tcPr>
          <w:p w14:paraId="1AE36342">
            <w:pPr>
              <w:widowControl/>
              <w:spacing w:after="180"/>
            </w:pPr>
            <w:r>
              <w:rPr>
                <w:rFonts w:hint="eastAsia"/>
              </w:rPr>
              <w:t>0</w:t>
            </w:r>
          </w:p>
        </w:tc>
        <w:tc>
          <w:tcPr>
            <w:tcW w:w="605" w:type="dxa"/>
            <w:tcMar>
              <w:left w:w="108" w:type="dxa"/>
              <w:right w:w="108" w:type="dxa"/>
            </w:tcMar>
            <w:vAlign w:val="center"/>
          </w:tcPr>
          <w:p w14:paraId="7249319F">
            <w:pPr>
              <w:widowControl/>
              <w:spacing w:after="180"/>
              <w:jc w:val="center"/>
            </w:pPr>
            <w:r>
              <w:rPr>
                <w:rFonts w:hint="eastAsia"/>
              </w:rPr>
              <w:t>0</w:t>
            </w:r>
          </w:p>
        </w:tc>
        <w:tc>
          <w:tcPr>
            <w:tcW w:w="605" w:type="dxa"/>
            <w:tcMar>
              <w:left w:w="108" w:type="dxa"/>
              <w:right w:w="108" w:type="dxa"/>
            </w:tcMar>
            <w:vAlign w:val="center"/>
          </w:tcPr>
          <w:p w14:paraId="3FB8038B">
            <w:pPr>
              <w:widowControl/>
              <w:spacing w:after="180"/>
              <w:jc w:val="center"/>
            </w:pPr>
            <w:r>
              <w:rPr>
                <w:rFonts w:hint="eastAsia"/>
              </w:rPr>
              <w:t>0</w:t>
            </w:r>
          </w:p>
        </w:tc>
        <w:tc>
          <w:tcPr>
            <w:tcW w:w="606" w:type="dxa"/>
            <w:tcMar>
              <w:left w:w="108" w:type="dxa"/>
              <w:right w:w="108" w:type="dxa"/>
            </w:tcMar>
            <w:vAlign w:val="center"/>
          </w:tcPr>
          <w:p w14:paraId="44AA67EE">
            <w:pPr>
              <w:widowControl/>
              <w:spacing w:after="180"/>
              <w:jc w:val="center"/>
            </w:pPr>
            <w:r>
              <w:rPr>
                <w:rFonts w:hint="eastAsia"/>
              </w:rPr>
              <w:t>0</w:t>
            </w:r>
          </w:p>
        </w:tc>
        <w:tc>
          <w:tcPr>
            <w:tcW w:w="606" w:type="dxa"/>
            <w:tcMar>
              <w:left w:w="108" w:type="dxa"/>
              <w:right w:w="108" w:type="dxa"/>
            </w:tcMar>
            <w:vAlign w:val="center"/>
          </w:tcPr>
          <w:p w14:paraId="2FFFFF59">
            <w:pPr>
              <w:widowControl/>
              <w:spacing w:after="180"/>
              <w:jc w:val="center"/>
            </w:pPr>
            <w:r>
              <w:rPr>
                <w:rFonts w:hint="eastAsia"/>
              </w:rPr>
              <w:t>0</w:t>
            </w:r>
          </w:p>
        </w:tc>
      </w:tr>
    </w:tbl>
    <w:p w14:paraId="0EA9BDE6">
      <w:pPr>
        <w:widowControl/>
        <w:spacing w:line="56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五、存在的主要问题及改进情况</w:t>
      </w:r>
    </w:p>
    <w:p w14:paraId="0F3D7288">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（一）存在的主要问题。</w:t>
      </w:r>
      <w:r>
        <w:rPr>
          <w:rFonts w:hint="eastAsia" w:ascii="仿宋_GB2312" w:hAnsi="仿宋_GB2312" w:eastAsia="仿宋_GB2312" w:cs="仿宋_GB2312"/>
          <w:sz w:val="32"/>
          <w:szCs w:val="32"/>
        </w:rPr>
        <w:t>一是信息公开的全面性有待提高，内容还需进一步丰富。二是对公众和社会关注的热点问题回应较少。</w:t>
      </w:r>
    </w:p>
    <w:p w14:paraId="78A4BC16">
      <w:pPr>
        <w:widowControl/>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（二）改进措施。</w:t>
      </w:r>
      <w:r>
        <w:rPr>
          <w:rFonts w:hint="eastAsia" w:ascii="仿宋_GB2312" w:hAnsi="仿宋_GB2312" w:eastAsia="仿宋_GB2312" w:cs="仿宋_GB2312"/>
          <w:sz w:val="32"/>
          <w:szCs w:val="32"/>
        </w:rPr>
        <w:t>一是加强对区政府政务公开工作要点的学习和理解，及时与相关部门信息沟通，打破信息茧房，提高信息公开的全面性。二是加强公众和社会关注的热点问题回应，着力提高回应的及时性、针对性、有效性，努力提高依法公开的能力和水平。</w:t>
      </w:r>
    </w:p>
    <w:p w14:paraId="4AE5DE03">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六、其他需要报告的事项</w:t>
      </w:r>
    </w:p>
    <w:p w14:paraId="324472AD">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（一）收取信息处理费情况。</w:t>
      </w:r>
      <w:r>
        <w:rPr>
          <w:rFonts w:hint="eastAsia" w:ascii="仿宋_GB2312" w:hAnsi="仿宋_GB2312" w:eastAsia="仿宋_GB2312" w:cs="仿宋_GB2312"/>
          <w:kern w:val="0"/>
          <w:sz w:val="32"/>
          <w:szCs w:val="32"/>
        </w:rPr>
        <w:t>依据《政府信息公开信息处理费管理办法》，本年度信息公开未收取任何信息处理费。</w:t>
      </w:r>
    </w:p>
    <w:p w14:paraId="49541DF9">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（二）落实上级年度政务公开工作要点情况。</w:t>
      </w:r>
      <w:r>
        <w:rPr>
          <w:rFonts w:hint="eastAsia" w:ascii="仿宋_GB2312" w:hAnsi="仿宋_GB2312" w:eastAsia="仿宋_GB2312" w:cs="仿宋_GB2312"/>
          <w:kern w:val="0"/>
          <w:sz w:val="32"/>
          <w:szCs w:val="32"/>
        </w:rPr>
        <w:t>认真落实上级年度政务公开各项工作要点，持续深化重点领域政府信息公开，加强和改进政策发布解读回应，强化公众参与推动高水平决策公开，充分发挥政府信息公开在建设服务政府、法治政府、效能政府、廉洁政府等方面的促进作用。</w:t>
      </w:r>
    </w:p>
    <w:p w14:paraId="0CA98AA7">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sz w:val="32"/>
          <w:szCs w:val="32"/>
        </w:rPr>
        <w:t>（三）人大代表建议和政协提案办理结果公开情况。</w:t>
      </w:r>
      <w:r>
        <w:rPr>
          <w:rFonts w:hint="eastAsia" w:ascii="仿宋_GB2312" w:hAnsi="仿宋_GB2312" w:eastAsia="仿宋_GB2312" w:cs="仿宋_GB2312"/>
          <w:sz w:val="32"/>
          <w:szCs w:val="32"/>
        </w:rPr>
        <w:t>2024年，</w:t>
      </w:r>
      <w:r>
        <w:rPr>
          <w:rFonts w:ascii="仿宋_GB2312" w:hAnsi="仿宋_GB2312" w:eastAsia="仿宋_GB2312" w:cs="仿宋_GB2312"/>
          <w:sz w:val="32"/>
          <w:szCs w:val="32"/>
        </w:rPr>
        <w:t>共主办区人大代表建议</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件、协办</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件，主办区政协委员提案</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件、协办</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件，均按规定时限办理答复</w:t>
      </w:r>
      <w:r>
        <w:rPr>
          <w:rFonts w:hint="eastAsia" w:ascii="仿宋_GB2312" w:hAnsi="仿宋_GB2312" w:eastAsia="仿宋_GB2312" w:cs="仿宋_GB2312"/>
          <w:sz w:val="32"/>
          <w:szCs w:val="32"/>
        </w:rPr>
        <w:t>。并依托“建议提案办理”专栏，对人大代表建议和政协提案办理结果进行集中公开，方便公众查询。</w:t>
      </w:r>
    </w:p>
    <w:p w14:paraId="5FB16AFC">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（四）政务公开工作创新情况：</w:t>
      </w:r>
      <w:r>
        <w:rPr>
          <w:rFonts w:hint="eastAsia" w:ascii="仿宋_GB2312" w:hAnsi="仿宋_GB2312" w:eastAsia="仿宋_GB2312" w:cs="仿宋_GB2312"/>
          <w:color w:val="000000"/>
          <w:kern w:val="0"/>
          <w:sz w:val="32"/>
          <w:szCs w:val="32"/>
        </w:rPr>
        <w:t>无。</w:t>
      </w:r>
    </w:p>
    <w:p w14:paraId="354DA4C1">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（五）本行政机关政府信息公开工作年度报告数据统计需要说明的事项。</w:t>
      </w:r>
      <w:r>
        <w:rPr>
          <w:rFonts w:hint="eastAsia" w:ascii="仿宋_GB2312" w:hAnsi="仿宋_GB2312" w:eastAsia="仿宋_GB2312" w:cs="仿宋_GB2312"/>
          <w:kern w:val="0"/>
          <w:sz w:val="32"/>
          <w:szCs w:val="32"/>
        </w:rPr>
        <w:t>报告中所列数据的统计期限自</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4年</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日起至</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4年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日止。</w:t>
      </w:r>
    </w:p>
    <w:p w14:paraId="00695B62">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（六）本行政机关认为需要报告的其他事项：</w:t>
      </w:r>
      <w:r>
        <w:rPr>
          <w:rFonts w:hint="eastAsia" w:ascii="仿宋_GB2312" w:hAnsi="仿宋_GB2312" w:eastAsia="仿宋_GB2312" w:cs="仿宋_GB2312"/>
          <w:kern w:val="0"/>
          <w:sz w:val="32"/>
          <w:szCs w:val="32"/>
        </w:rPr>
        <w:t>无。</w:t>
      </w:r>
    </w:p>
    <w:p w14:paraId="048E5C99">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（七）其他有关文件专门要求通过政府信息公开工作年度报告予以报告的事项：</w:t>
      </w:r>
      <w:r>
        <w:rPr>
          <w:rFonts w:hint="eastAsia" w:ascii="仿宋_GB2312" w:hAnsi="仿宋_GB2312" w:eastAsia="仿宋_GB2312" w:cs="仿宋_GB2312"/>
          <w:kern w:val="0"/>
          <w:sz w:val="32"/>
          <w:szCs w:val="32"/>
        </w:rPr>
        <w:t>无。</w:t>
      </w:r>
    </w:p>
    <w:p w14:paraId="0BDF3F2E">
      <w:pPr>
        <w:widowControl/>
        <w:spacing w:line="560" w:lineRule="exact"/>
        <w:ind w:firstLine="640" w:firstLineChars="200"/>
        <w:rPr>
          <w:rFonts w:ascii="仿宋_GB2312" w:hAnsi="仿宋_GB2312" w:eastAsia="仿宋_GB2312" w:cs="仿宋_GB2312"/>
          <w:kern w:val="0"/>
          <w:sz w:val="32"/>
          <w:szCs w:val="32"/>
        </w:rPr>
      </w:pPr>
    </w:p>
    <w:p w14:paraId="6DE213BF">
      <w:pPr>
        <w:widowControl/>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台儿庄区</w:t>
      </w:r>
      <w:r>
        <w:rPr>
          <w:rFonts w:ascii="仿宋_GB2312" w:hAnsi="仿宋_GB2312" w:eastAsia="仿宋_GB2312" w:cs="仿宋_GB2312"/>
          <w:kern w:val="0"/>
          <w:sz w:val="32"/>
          <w:szCs w:val="32"/>
        </w:rPr>
        <w:t>运河街道办事处</w:t>
      </w:r>
    </w:p>
    <w:p w14:paraId="2C4BB116">
      <w:pPr>
        <w:widowControl/>
        <w:spacing w:line="560" w:lineRule="exact"/>
        <w:ind w:right="480" w:firstLine="640" w:firstLineChars="200"/>
        <w:jc w:val="righ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5</w:t>
      </w:r>
      <w:r>
        <w:rPr>
          <w:rFonts w:ascii="仿宋_GB2312" w:hAnsi="仿宋_GB2312" w:eastAsia="仿宋_GB2312" w:cs="仿宋_GB2312"/>
          <w:kern w:val="0"/>
          <w:sz w:val="32"/>
          <w:szCs w:val="32"/>
        </w:rPr>
        <w:t>年1月1</w:t>
      </w: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日</w:t>
      </w:r>
    </w:p>
    <w:p w14:paraId="5F182759">
      <w:pPr>
        <w:widowControl/>
        <w:spacing w:line="560" w:lineRule="exact"/>
        <w:rPr>
          <w:rFonts w:ascii="仿宋_GB2312" w:hAnsi="仿宋_GB2312" w:eastAsia="仿宋_GB2312" w:cs="仿宋_GB2312"/>
          <w:sz w:val="32"/>
          <w:szCs w:val="32"/>
        </w:rPr>
      </w:pPr>
    </w:p>
    <w:sectPr>
      <w:pgSz w:w="11906" w:h="16838"/>
      <w:pgMar w:top="1984" w:right="1587" w:bottom="181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F45E2"/>
    <w:rsid w:val="00360B0B"/>
    <w:rsid w:val="00BC26F5"/>
    <w:rsid w:val="0B796E06"/>
    <w:rsid w:val="25C12BDC"/>
    <w:rsid w:val="474F0AF5"/>
    <w:rsid w:val="481E5398"/>
    <w:rsid w:val="503E4A3C"/>
    <w:rsid w:val="577E4917"/>
    <w:rsid w:val="5D6753BF"/>
    <w:rsid w:val="727F45E2"/>
    <w:rsid w:val="72BA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2617</Words>
  <Characters>2720</Characters>
  <Lines>22</Lines>
  <Paragraphs>6</Paragraphs>
  <TotalTime>251</TotalTime>
  <ScaleCrop>false</ScaleCrop>
  <LinksUpToDate>false</LinksUpToDate>
  <CharactersWithSpaces>2720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2025-01-13T01:36:00Z</dcterms:created>
  <dc:creator>Administrator</dc:creator>
  <cp:lastModifiedBy>Administrator</cp:lastModifiedBy>
  <dcterms:modified xsi:type="dcterms:W3CDTF">2025-01-16T02:25:13Z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73AD6642934F4CE581500566802BCD37_11</vt:lpwstr>
  </property>
</Properties>
</file>