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885E5">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spacing w:val="-4"/>
          <w:sz w:val="44"/>
          <w:szCs w:val="44"/>
          <w:shd w:val="clear" w:color="auto" w:fill="FFFFFF"/>
        </w:rPr>
      </w:pPr>
      <w:r>
        <w:rPr>
          <w:rFonts w:hint="eastAsia" w:ascii="方正小标宋简体" w:hAnsi="方正小标宋简体" w:eastAsia="方正小标宋简体" w:cs="方正小标宋简体"/>
          <w:bCs/>
          <w:spacing w:val="-4"/>
          <w:sz w:val="44"/>
          <w:szCs w:val="44"/>
          <w:shd w:val="clear" w:color="auto" w:fill="FFFFFF"/>
        </w:rPr>
        <w:t>枣庄市台儿庄区行政审批服务局</w:t>
      </w:r>
    </w:p>
    <w:p w14:paraId="48179B8C">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spacing w:val="-4"/>
          <w:sz w:val="44"/>
          <w:szCs w:val="44"/>
          <w:shd w:val="clear" w:color="auto" w:fill="FFFFFF"/>
        </w:rPr>
      </w:pPr>
      <w:r>
        <w:rPr>
          <w:rFonts w:hint="eastAsia" w:ascii="方正小标宋简体" w:hAnsi="方正小标宋简体" w:eastAsia="方正小标宋简体" w:cs="方正小标宋简体"/>
          <w:bCs/>
          <w:spacing w:val="-4"/>
          <w:sz w:val="44"/>
          <w:szCs w:val="44"/>
          <w:shd w:val="clear" w:color="auto" w:fill="FFFFFF"/>
        </w:rPr>
        <w:t>2024年政府信息公开工作年度报告</w:t>
      </w:r>
    </w:p>
    <w:p w14:paraId="108E1E2A">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spacing w:val="-4"/>
          <w:sz w:val="44"/>
          <w:szCs w:val="44"/>
          <w:shd w:val="clear" w:color="auto" w:fill="FFFFFF"/>
        </w:rPr>
      </w:pPr>
    </w:p>
    <w:p w14:paraId="00B56C0A">
      <w:pPr>
        <w:widowControl/>
        <w:spacing w:line="560" w:lineRule="exact"/>
        <w:ind w:firstLine="602"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根据《中华人民共和国政府信息公开条例》</w:t>
      </w:r>
      <w:r>
        <w:rPr>
          <w:rFonts w:hint="eastAsia" w:ascii="仿宋_GB2312" w:hAnsi="仿宋_GB2312" w:eastAsia="仿宋_GB2312" w:cs="仿宋_GB2312"/>
          <w:spacing w:val="-4"/>
          <w:sz w:val="32"/>
          <w:szCs w:val="32"/>
          <w:shd w:val="clear" w:color="auto" w:fill="FFFFFF"/>
        </w:rPr>
        <w:t>（国务院令第711号，以下简称《条例》）</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shd w:val="clear" w:color="auto" w:fill="FFFFFF"/>
        </w:rPr>
        <w:t>《国务院办公厅政府信息与政务公开办公室关于印发＜中华人民共和国政府信息公开工作年度报告格式＞的通知》（国办公开办函〔2021〕30号）</w:t>
      </w:r>
      <w:r>
        <w:rPr>
          <w:rFonts w:hint="eastAsia" w:ascii="仿宋_GB2312" w:hAnsi="仿宋_GB2312" w:eastAsia="仿宋_GB2312" w:cs="仿宋_GB2312"/>
          <w:spacing w:val="-4"/>
          <w:sz w:val="32"/>
          <w:szCs w:val="32"/>
        </w:rPr>
        <w:t>；省政府、市政府、区政府政府信息公开相关规定，</w:t>
      </w:r>
      <w:r>
        <w:rPr>
          <w:rFonts w:hint="eastAsia" w:ascii="仿宋_GB2312" w:hAnsi="宋体" w:eastAsia="仿宋_GB2312" w:cs="仿宋_GB2312"/>
          <w:color w:val="000000"/>
          <w:sz w:val="32"/>
          <w:szCs w:val="32"/>
          <w:shd w:val="clear" w:color="auto" w:fill="FFFFFF"/>
        </w:rPr>
        <w:t>编制本报告。</w:t>
      </w:r>
      <w:r>
        <w:rPr>
          <w:rFonts w:hint="eastAsia" w:ascii="仿宋_GB2312" w:hAnsi="仿宋_GB2312" w:eastAsia="仿宋_GB2312" w:cs="仿宋_GB2312"/>
          <w:spacing w:val="-4"/>
          <w:kern w:val="0"/>
          <w:sz w:val="32"/>
          <w:szCs w:val="32"/>
          <w:lang w:bidi="ar"/>
        </w:rPr>
        <w:t>本报告</w:t>
      </w:r>
      <w:r>
        <w:rPr>
          <w:rFonts w:hint="eastAsia" w:ascii="仿宋_GB2312" w:hAnsi="仿宋_GB2312" w:eastAsia="仿宋_GB2312" w:cs="仿宋_GB2312"/>
          <w:spacing w:val="-4"/>
          <w:sz w:val="32"/>
          <w:szCs w:val="32"/>
        </w:rPr>
        <w:t>由总体情况、</w:t>
      </w:r>
      <w:r>
        <w:rPr>
          <w:rFonts w:hint="eastAsia" w:ascii="仿宋_GB2312" w:hAnsi="仿宋_GB2312" w:eastAsia="仿宋_GB2312" w:cs="仿宋_GB2312"/>
          <w:spacing w:val="-4"/>
          <w:sz w:val="32"/>
          <w:szCs w:val="32"/>
          <w:shd w:val="clear" w:color="auto" w:fill="FFFFFF"/>
        </w:rPr>
        <w:t>主动公开政府信息情况；</w:t>
      </w:r>
      <w:r>
        <w:rPr>
          <w:rFonts w:hint="eastAsia" w:ascii="仿宋_GB2312" w:hAnsi="仿宋_GB2312" w:eastAsia="仿宋_GB2312" w:cs="仿宋_GB2312"/>
          <w:spacing w:val="-4"/>
          <w:sz w:val="32"/>
          <w:szCs w:val="32"/>
        </w:rPr>
        <w:t>收到和处理政府信息公开申请情况；政府信息公开行政复议、行政诉讼情况；存在的主要问题及改进情况；其他需要报告的事项等六个部分组成。</w:t>
      </w:r>
      <w:r>
        <w:rPr>
          <w:rFonts w:hint="eastAsia" w:ascii="仿宋_GB2312" w:hAnsi="仿宋_GB2312" w:eastAsia="仿宋_GB2312" w:cs="仿宋_GB2312"/>
          <w:spacing w:val="-4"/>
          <w:kern w:val="0"/>
          <w:sz w:val="32"/>
          <w:szCs w:val="32"/>
          <w:lang w:bidi="ar"/>
        </w:rPr>
        <w:t>报告</w:t>
      </w:r>
      <w:r>
        <w:rPr>
          <w:rFonts w:hint="eastAsia" w:ascii="仿宋_GB2312" w:hAnsi="仿宋_GB2312" w:eastAsia="仿宋_GB2312" w:cs="仿宋_GB2312"/>
          <w:spacing w:val="-4"/>
          <w:sz w:val="32"/>
          <w:szCs w:val="32"/>
        </w:rPr>
        <w:t>中所列数据的统计期限自2024年1月1日起至2024年12月31日止。</w:t>
      </w:r>
      <w:r>
        <w:rPr>
          <w:rFonts w:hint="eastAsia" w:ascii="仿宋_GB2312" w:hAnsi="仿宋_GB2312" w:eastAsia="仿宋_GB2312" w:cs="仿宋_GB2312"/>
          <w:spacing w:val="-4"/>
          <w:kern w:val="0"/>
          <w:sz w:val="32"/>
          <w:szCs w:val="32"/>
          <w:lang w:bidi="ar"/>
        </w:rPr>
        <w:t>报告</w:t>
      </w:r>
      <w:r>
        <w:rPr>
          <w:rFonts w:hint="eastAsia" w:ascii="仿宋_GB2312" w:hAnsi="仿宋_GB2312" w:eastAsia="仿宋_GB2312" w:cs="仿宋_GB2312"/>
          <w:spacing w:val="-4"/>
          <w:sz w:val="32"/>
          <w:szCs w:val="32"/>
        </w:rPr>
        <w:t>的电子版可在“台儿庄区政府门户网站”下载。如对</w:t>
      </w:r>
      <w:r>
        <w:rPr>
          <w:rFonts w:hint="eastAsia" w:ascii="仿宋_GB2312" w:hAnsi="仿宋_GB2312" w:eastAsia="仿宋_GB2312" w:cs="仿宋_GB2312"/>
          <w:spacing w:val="-4"/>
          <w:kern w:val="0"/>
          <w:sz w:val="32"/>
          <w:szCs w:val="32"/>
          <w:lang w:bidi="ar"/>
        </w:rPr>
        <w:t>报告</w:t>
      </w:r>
      <w:r>
        <w:rPr>
          <w:rFonts w:hint="eastAsia" w:ascii="仿宋_GB2312" w:hAnsi="仿宋_GB2312" w:eastAsia="仿宋_GB2312" w:cs="仿宋_GB2312"/>
          <w:spacing w:val="-4"/>
          <w:sz w:val="32"/>
          <w:szCs w:val="32"/>
        </w:rPr>
        <w:t>有疑问，请与台儿庄区行政审批服务局联系(地址:枣庄市台儿庄区台中路1506号；电话：0632—6616110；邮箱：tezqzgb@zz.shandong.cn )。</w:t>
      </w:r>
    </w:p>
    <w:p w14:paraId="537D2668">
      <w:pPr>
        <w:pStyle w:val="8"/>
        <w:shd w:val="clear" w:color="auto" w:fill="FFFFFF"/>
        <w:spacing w:before="0" w:beforeAutospacing="0" w:after="0" w:afterAutospacing="0" w:line="560" w:lineRule="exact"/>
        <w:ind w:firstLine="602" w:firstLineChars="200"/>
        <w:jc w:val="both"/>
        <w:rPr>
          <w:rFonts w:ascii="黑体" w:hAnsi="黑体" w:eastAsia="黑体" w:cs="黑体"/>
          <w:bCs/>
          <w:spacing w:val="-4"/>
          <w:sz w:val="32"/>
          <w:szCs w:val="32"/>
        </w:rPr>
      </w:pPr>
      <w:r>
        <w:rPr>
          <w:rFonts w:hint="eastAsia" w:ascii="黑体" w:hAnsi="黑体" w:eastAsia="黑体" w:cs="黑体"/>
          <w:bCs/>
          <w:spacing w:val="-4"/>
          <w:sz w:val="32"/>
          <w:szCs w:val="32"/>
          <w:shd w:val="clear" w:color="auto" w:fill="FFFFFF"/>
        </w:rPr>
        <w:t>一、总体情况</w:t>
      </w:r>
    </w:p>
    <w:p w14:paraId="05DFA23C">
      <w:pPr>
        <w:pStyle w:val="8"/>
        <w:shd w:val="clear" w:color="auto" w:fill="FFFFFF"/>
        <w:spacing w:before="0" w:beforeAutospacing="0" w:after="0" w:afterAutospacing="0" w:line="560" w:lineRule="exact"/>
        <w:ind w:firstLine="602" w:firstLineChars="200"/>
        <w:jc w:val="both"/>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 xml:space="preserve">2024年，台儿庄区行政审批服务局严格按照党中央、国务院及省、市、区的政策指导，全面深化政务公开工作，致力于提升政府工作的透明度和公信力。通过健全组织机构，完善信息公开机制，强化监督考核，我局在推动政府信息公开制度化、规范化、科学化、常态化方面取得了显著成效。全年，我们持续优化信息公开渠道，确保信息发布的及时性和准确性，有效保障了人民群众的知情权和监督权，为构建阳光政府、服务型政府奠定了坚实基础。  </w:t>
      </w:r>
    </w:p>
    <w:p w14:paraId="732389F1">
      <w:pPr>
        <w:pStyle w:val="8"/>
        <w:numPr>
          <w:ilvl w:val="0"/>
          <w:numId w:val="1"/>
        </w:numPr>
        <w:shd w:val="clear" w:color="auto" w:fill="FFFFFF"/>
        <w:spacing w:before="0" w:beforeAutospacing="0" w:after="0" w:afterAutospacing="0" w:line="560" w:lineRule="exact"/>
        <w:ind w:firstLine="602" w:firstLineChars="200"/>
        <w:jc w:val="both"/>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rPr>
        <w:t>强化信息</w:t>
      </w:r>
      <w:r>
        <w:rPr>
          <w:rFonts w:hint="eastAsia" w:ascii="楷体_GB2312" w:hAnsi="楷体_GB2312" w:eastAsia="楷体_GB2312" w:cs="楷体_GB2312"/>
          <w:spacing w:val="-4"/>
          <w:sz w:val="32"/>
          <w:szCs w:val="32"/>
          <w:shd w:val="clear" w:color="auto" w:fill="FFFFFF"/>
        </w:rPr>
        <w:t>主动公开</w:t>
      </w:r>
    </w:p>
    <w:p w14:paraId="5AE86F9C">
      <w:pPr>
        <w:pStyle w:val="8"/>
        <w:shd w:val="clear" w:color="auto" w:fill="FFFFFF"/>
        <w:spacing w:before="0" w:beforeAutospacing="0" w:after="0" w:afterAutospacing="0" w:line="560" w:lineRule="exact"/>
        <w:ind w:firstLine="602" w:firstLineChars="200"/>
        <w:jc w:val="both"/>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2024年，通过政府门户网站、政务新媒体、公告栏等多种渠道，实现了信息的广泛传播和便捷获取，已公开的政务服务信息主要涵盖政策法规、行政审批结果、公共服务事项等多个方面。特别是针对行政审批事项，实行网上办理和结果公示，极大提高了审批效率和透明度。本年度累计公示行政许可信息12308条，政策法规新闻发布解读2篇，微信公众号信息300余篇。</w:t>
      </w:r>
    </w:p>
    <w:p w14:paraId="44C67E37">
      <w:pPr>
        <w:pStyle w:val="8"/>
        <w:numPr>
          <w:ilvl w:val="0"/>
          <w:numId w:val="1"/>
        </w:numPr>
        <w:shd w:val="clear" w:color="auto" w:fill="FFFFFF"/>
        <w:spacing w:before="0" w:beforeAutospacing="0" w:after="0" w:afterAutospacing="0" w:line="560" w:lineRule="exact"/>
        <w:ind w:firstLine="602" w:firstLineChars="200"/>
        <w:jc w:val="both"/>
        <w:rPr>
          <w:rFonts w:hint="eastAsia" w:ascii="楷体_GB2312" w:hAnsi="Ã¥Â¾Â®Ã¨Â½Â¯Ã©â€ºâ€¦Ã©Â»â€˜" w:eastAsia="楷体_GB2312" w:cs="楷体_GB2312"/>
          <w:spacing w:val="-4"/>
          <w:sz w:val="32"/>
          <w:szCs w:val="32"/>
          <w:shd w:val="clear" w:color="auto" w:fill="FFFFFF"/>
        </w:rPr>
      </w:pPr>
      <w:r>
        <w:rPr>
          <w:rFonts w:hint="eastAsia" w:ascii="楷体_GB2312" w:hAnsi="楷体_GB2312" w:eastAsia="楷体_GB2312" w:cs="楷体_GB2312"/>
          <w:spacing w:val="-4"/>
          <w:sz w:val="32"/>
          <w:szCs w:val="32"/>
        </w:rPr>
        <w:t>依法做好</w:t>
      </w:r>
      <w:r>
        <w:rPr>
          <w:rFonts w:hint="eastAsia" w:ascii="楷体_GB2312" w:hAnsi="Ã¥Â¾Â®Ã¨Â½Â¯Ã©â€ºâ€¦Ã©Â»â€˜" w:eastAsia="楷体_GB2312" w:cs="楷体_GB2312"/>
          <w:spacing w:val="-4"/>
          <w:sz w:val="32"/>
          <w:szCs w:val="32"/>
          <w:shd w:val="clear" w:color="auto" w:fill="FFFFFF"/>
        </w:rPr>
        <w:t>依申请公开</w:t>
      </w:r>
    </w:p>
    <w:p w14:paraId="1E1110C4">
      <w:pPr>
        <w:pStyle w:val="8"/>
        <w:shd w:val="clear" w:color="auto" w:fill="FFFFFF"/>
        <w:spacing w:before="0" w:beforeAutospacing="0" w:after="0" w:afterAutospacing="0" w:line="560" w:lineRule="exact"/>
        <w:ind w:firstLine="602" w:firstLineChars="200"/>
        <w:jc w:val="both"/>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2024年，优化申请方式、简化办理流程、加强信息共享、提高答复质量、加强监督和考核，旨在提高政府信息公开的透明度和公正性，保障群众的知情权、参与权、表达权、监督权。本年度，我局共收到政府信息公开申请1件，均在法定时限内依法依规予以答复。其中，不予公开（没有现成信息需要另行制作）1件，在处理过程中，我们注重与申请人的沟通，确保答复的准确性和满意度，本年度未收取任何信息处理费用。</w:t>
      </w:r>
    </w:p>
    <w:p w14:paraId="5038837E">
      <w:pPr>
        <w:pStyle w:val="8"/>
        <w:numPr>
          <w:ilvl w:val="0"/>
          <w:numId w:val="1"/>
        </w:numPr>
        <w:shd w:val="clear" w:color="auto" w:fill="FFFFFF"/>
        <w:spacing w:before="0" w:beforeAutospacing="0" w:after="0" w:afterAutospacing="0" w:line="560" w:lineRule="exact"/>
        <w:ind w:firstLine="602" w:firstLineChars="200"/>
        <w:rPr>
          <w:rFonts w:hint="eastAsia" w:ascii="楷体_GB2312" w:hAnsi="Ã¥Â¾Â®Ã¨Â½Â¯Ã©â€ºâ€¦Ã©Â»â€˜" w:eastAsia="楷体_GB2312" w:cs="楷体_GB2312"/>
          <w:spacing w:val="-4"/>
          <w:sz w:val="32"/>
          <w:szCs w:val="32"/>
          <w:shd w:val="clear" w:color="auto" w:fill="FFFFFF"/>
        </w:rPr>
      </w:pPr>
      <w:r>
        <w:rPr>
          <w:rFonts w:hint="eastAsia" w:ascii="楷体_GB2312" w:hAnsi="楷体_GB2312" w:eastAsia="楷体_GB2312" w:cs="楷体_GB2312"/>
          <w:spacing w:val="-4"/>
          <w:sz w:val="32"/>
          <w:szCs w:val="32"/>
        </w:rPr>
        <w:t>强化</w:t>
      </w:r>
      <w:r>
        <w:rPr>
          <w:rFonts w:hint="eastAsia" w:ascii="楷体_GB2312" w:hAnsi="Ã¥Â¾Â®Ã¨Â½Â¯Ã©â€ºâ€¦Ã©Â»â€˜" w:eastAsia="楷体_GB2312" w:cs="楷体_GB2312"/>
          <w:spacing w:val="-4"/>
          <w:sz w:val="32"/>
          <w:szCs w:val="32"/>
          <w:shd w:val="clear" w:color="auto" w:fill="FFFFFF"/>
        </w:rPr>
        <w:t>政府信息管理</w:t>
      </w:r>
    </w:p>
    <w:p w14:paraId="3DFF4CA0">
      <w:pPr>
        <w:pStyle w:val="8"/>
        <w:shd w:val="clear" w:color="auto" w:fill="FFFFFF"/>
        <w:spacing w:before="0" w:beforeAutospacing="0" w:after="0" w:afterAutospacing="0" w:line="560" w:lineRule="exact"/>
        <w:ind w:firstLine="602" w:firstLineChars="200"/>
        <w:rPr>
          <w:rFonts w:hint="eastAsia" w:ascii="Ã¥Â¾Â®Ã¨Â½Â¯Ã©â€ºâ€¦Ã©Â»â€˜" w:hAnsi="Ã¥Â¾Â®Ã¨Â½Â¯Ã©â€ºâ€¦Ã©Â»â€˜" w:eastAsia="仿宋_GB2312" w:cs="Ã¥Â¾Â®Ã¨Â½Â¯Ã©â€ºâ€¦Ã©Â»â€˜"/>
          <w:spacing w:val="-4"/>
          <w:sz w:val="19"/>
          <w:szCs w:val="19"/>
        </w:rPr>
      </w:pPr>
      <w:r>
        <w:rPr>
          <w:rFonts w:hint="eastAsia" w:ascii="仿宋_GB2312" w:hAnsi="仿宋_GB2312" w:eastAsia="仿宋_GB2312" w:cs="仿宋_GB2312"/>
          <w:spacing w:val="-4"/>
          <w:sz w:val="32"/>
          <w:szCs w:val="32"/>
          <w:shd w:val="clear" w:color="auto" w:fill="FFFFFF"/>
        </w:rPr>
        <w:t>2024年，通过多种形式加强政府信息管理。</w:t>
      </w:r>
      <w:r>
        <w:rPr>
          <w:rFonts w:hint="eastAsia" w:ascii="仿宋_GB2312" w:hAnsi="Ã¥Â¾Â®Ã¨Â½Â¯Ã©â€ºâ€¦Ã©Â»â€˜" w:eastAsia="仿宋_GB2312" w:cs="仿宋_GB2312"/>
          <w:spacing w:val="-4"/>
          <w:sz w:val="32"/>
          <w:szCs w:val="32"/>
          <w:shd w:val="clear" w:color="auto" w:fill="FFFFFF"/>
        </w:rPr>
        <w:t>一是建立信息管理制度：建立完善的信息管理制度，明确信息的收集、整理、保存和利用等方面的要求，确保信息管理的规范化和标准化。二是规范信息发布流程：规范信息的发布流程，确保信息的准确性和权威性。同时，采取多种方式发布信息，如政府网站、新闻媒体、社交平台等。三是加强信息安全管理：加强信息安全管理，采取有效的技术手段和管理措施，保障信息的安全和保密。</w:t>
      </w:r>
    </w:p>
    <w:p w14:paraId="7ECEB966">
      <w:pPr>
        <w:pStyle w:val="8"/>
        <w:numPr>
          <w:ilvl w:val="0"/>
          <w:numId w:val="1"/>
        </w:numPr>
        <w:shd w:val="clear" w:color="auto" w:fill="FFFFFF"/>
        <w:spacing w:before="0" w:beforeAutospacing="0" w:after="0" w:afterAutospacing="0" w:line="560" w:lineRule="exact"/>
        <w:ind w:firstLine="602" w:firstLineChars="200"/>
        <w:rPr>
          <w:rFonts w:hint="eastAsia" w:ascii="楷体_GB2312" w:hAnsi="Ã¥Â¾Â®Ã¨Â½Â¯Ã©â€ºâ€¦Ã©Â»â€˜" w:eastAsia="楷体_GB2312" w:cs="楷体_GB2312"/>
          <w:spacing w:val="-4"/>
          <w:sz w:val="32"/>
          <w:szCs w:val="32"/>
          <w:shd w:val="clear" w:color="auto" w:fill="FFFFFF"/>
        </w:rPr>
      </w:pPr>
      <w:r>
        <w:rPr>
          <w:rFonts w:hint="eastAsia" w:ascii="楷体_GB2312" w:hAnsi="楷体_GB2312" w:eastAsia="楷体_GB2312" w:cs="楷体_GB2312"/>
          <w:spacing w:val="-4"/>
          <w:sz w:val="32"/>
          <w:szCs w:val="32"/>
        </w:rPr>
        <w:t>推进政府信息</w:t>
      </w:r>
      <w:r>
        <w:rPr>
          <w:rFonts w:hint="eastAsia" w:ascii="楷体_GB2312" w:hAnsi="Ã¥Â¾Â®Ã¨Â½Â¯Ã©â€ºâ€¦Ã©Â»â€˜" w:eastAsia="楷体_GB2312" w:cs="楷体_GB2312"/>
          <w:spacing w:val="-4"/>
          <w:sz w:val="32"/>
          <w:szCs w:val="32"/>
          <w:shd w:val="clear" w:color="auto" w:fill="FFFFFF"/>
        </w:rPr>
        <w:t>平台建设</w:t>
      </w:r>
    </w:p>
    <w:p w14:paraId="20AAD74D">
      <w:pPr>
        <w:pStyle w:val="8"/>
        <w:shd w:val="clear" w:color="auto" w:fill="FFFFFF"/>
        <w:spacing w:before="0" w:beforeAutospacing="0" w:after="0" w:afterAutospacing="0" w:line="560" w:lineRule="exact"/>
        <w:ind w:firstLine="602" w:firstLineChars="200"/>
        <w:rPr>
          <w:rFonts w:hint="eastAsia" w:ascii="仿宋_GB2312" w:hAnsi="Ã¥Â¾Â®Ã¨Â½Â¯Ã©â€ºâ€¦Ã©Â»â€˜"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2024年，持续推进政府信息公开平台的建设。</w:t>
      </w:r>
      <w:r>
        <w:rPr>
          <w:rFonts w:hint="eastAsia" w:ascii="仿宋_GB2312" w:hAnsi="Ã¥Â¾Â®Ã¨Â½Â¯Ã©â€ºâ€¦Ã©Â»â€˜" w:eastAsia="仿宋_GB2312" w:cs="仿宋_GB2312"/>
          <w:spacing w:val="-4"/>
          <w:sz w:val="32"/>
          <w:szCs w:val="32"/>
          <w:shd w:val="clear" w:color="auto" w:fill="FFFFFF"/>
        </w:rPr>
        <w:t>一是强基础拓渠道：在依托山东政务服务网、台儿庄区政府网站开展政府信息公开的基础上，加强立竿见影的</w:t>
      </w:r>
      <w:r>
        <w:rPr>
          <w:rFonts w:hint="eastAsia" w:ascii="仿宋_GB2312" w:hAnsi="仿宋_GB2312" w:eastAsia="仿宋_GB2312" w:cs="仿宋_GB2312"/>
          <w:spacing w:val="-4"/>
          <w:sz w:val="32"/>
          <w:szCs w:val="32"/>
          <w:shd w:val="clear" w:color="auto" w:fill="FFFFFF"/>
        </w:rPr>
        <w:t>室内大屏、易拉宝、展示牌、办事指南等</w:t>
      </w:r>
      <w:r>
        <w:rPr>
          <w:rFonts w:hint="eastAsia" w:ascii="仿宋_GB2312" w:hAnsi="仿宋_GB2312" w:eastAsia="仿宋_GB2312" w:cs="仿宋_GB2312"/>
          <w:spacing w:val="-4"/>
          <w:sz w:val="32"/>
          <w:szCs w:val="32"/>
        </w:rPr>
        <w:t>线下</w:t>
      </w:r>
      <w:r>
        <w:rPr>
          <w:rFonts w:hint="eastAsia" w:ascii="仿宋_GB2312" w:hAnsi="Ã¥Â¾Â®Ã¨Â½Â¯Ã©â€ºâ€¦Ã©Â»â€˜" w:eastAsia="仿宋_GB2312" w:cs="仿宋_GB2312"/>
          <w:spacing w:val="-4"/>
          <w:sz w:val="32"/>
          <w:szCs w:val="32"/>
          <w:shd w:val="clear" w:color="auto" w:fill="FFFFFF"/>
        </w:rPr>
        <w:t>政府信息公开</w:t>
      </w:r>
      <w:r>
        <w:rPr>
          <w:rFonts w:hint="eastAsia" w:ascii="仿宋_GB2312" w:hAnsi="仿宋_GB2312" w:eastAsia="仿宋_GB2312" w:cs="仿宋_GB2312"/>
          <w:spacing w:val="-4"/>
          <w:sz w:val="32"/>
          <w:szCs w:val="32"/>
          <w:shd w:val="clear" w:color="auto" w:fill="FFFFFF"/>
        </w:rPr>
        <w:t>形式；同时</w:t>
      </w:r>
      <w:r>
        <w:rPr>
          <w:rFonts w:hint="eastAsia" w:ascii="仿宋_GB2312" w:hAnsi="Ã¥Â¾Â®Ã¨Â½Â¯Ã©â€ºâ€¦Ã©Â»â€˜" w:eastAsia="仿宋_GB2312" w:cs="仿宋_GB2312"/>
          <w:spacing w:val="-4"/>
          <w:sz w:val="32"/>
          <w:szCs w:val="32"/>
          <w:shd w:val="clear" w:color="auto" w:fill="FFFFFF"/>
        </w:rPr>
        <w:t>不断尝试拓展政府信息公开渠道，采用群众接受度高、传播度广的微信公众号对政府信息进行公开。二是推进数字化转型：积极推进政府信息公开数字化转型，提高行政审批信息管理的效率和智能化水平，构建“微信批”、“好差评”等平台，将政府公开的信息搬到群众的手掌心。</w:t>
      </w:r>
    </w:p>
    <w:p w14:paraId="3463A73E">
      <w:pPr>
        <w:pStyle w:val="8"/>
        <w:numPr>
          <w:ilvl w:val="0"/>
          <w:numId w:val="1"/>
        </w:numPr>
        <w:shd w:val="clear" w:color="auto" w:fill="FFFFFF"/>
        <w:spacing w:before="0" w:beforeAutospacing="0" w:after="0" w:afterAutospacing="0" w:line="560" w:lineRule="exact"/>
        <w:ind w:firstLine="602" w:firstLineChars="200"/>
        <w:rPr>
          <w:rFonts w:hint="eastAsia" w:ascii="楷体_GB2312" w:hAnsi="Ã¥Â¾Â®Ã¨Â½Â¯Ã©â€ºâ€¦Ã©Â»â€˜" w:eastAsia="楷体_GB2312" w:cs="楷体_GB2312"/>
          <w:spacing w:val="-4"/>
          <w:sz w:val="32"/>
          <w:szCs w:val="32"/>
          <w:shd w:val="clear" w:color="auto" w:fill="FFFFFF"/>
        </w:rPr>
      </w:pPr>
      <w:r>
        <w:rPr>
          <w:rFonts w:hint="eastAsia" w:ascii="楷体_GB2312" w:hAnsi="楷体_GB2312" w:eastAsia="楷体_GB2312" w:cs="楷体_GB2312"/>
          <w:spacing w:val="-4"/>
          <w:sz w:val="32"/>
          <w:szCs w:val="32"/>
        </w:rPr>
        <w:t>做好政务公开</w:t>
      </w:r>
      <w:r>
        <w:rPr>
          <w:rFonts w:hint="eastAsia" w:ascii="楷体_GB2312" w:hAnsi="Ã¥Â¾Â®Ã¨Â½Â¯Ã©â€ºâ€¦Ã©Â»â€˜" w:eastAsia="楷体_GB2312" w:cs="楷体_GB2312"/>
          <w:spacing w:val="-4"/>
          <w:sz w:val="32"/>
          <w:szCs w:val="32"/>
          <w:shd w:val="clear" w:color="auto" w:fill="FFFFFF"/>
        </w:rPr>
        <w:t>监督保障</w:t>
      </w:r>
    </w:p>
    <w:p w14:paraId="32B1A3FB">
      <w:pPr>
        <w:pStyle w:val="8"/>
        <w:shd w:val="clear" w:color="auto" w:fill="FFFFFF"/>
        <w:spacing w:before="0" w:beforeAutospacing="0" w:after="0" w:afterAutospacing="0" w:line="560" w:lineRule="exact"/>
        <w:ind w:firstLine="602" w:firstLineChars="200"/>
        <w:rPr>
          <w:rFonts w:ascii="Ã¥Â¾Â®Ã¨Â½Â¯Ã©â€ºâ€¦Ã©Â»â€˜" w:hAnsi="Ã¥Â¾Â®Ã¨Â½Â¯Ã©â€ºâ€¦Ã©Â»â€˜" w:eastAsia="Ã¥Â¾Â®Ã¨Â½Â¯Ã©â€ºâ€¦Ã©Â»â€˜" w:cs="Ã¥Â¾Â®Ã¨Â½Â¯Ã©â€ºâ€¦Ã©Â»â€˜"/>
          <w:spacing w:val="-4"/>
          <w:sz w:val="19"/>
          <w:szCs w:val="19"/>
        </w:rPr>
      </w:pPr>
      <w:r>
        <w:rPr>
          <w:rFonts w:hint="eastAsia" w:ascii="仿宋_GB2312" w:hAnsi="仿宋_GB2312" w:eastAsia="仿宋_GB2312" w:cs="仿宋_GB2312"/>
          <w:spacing w:val="-4"/>
          <w:sz w:val="32"/>
          <w:szCs w:val="32"/>
          <w:shd w:val="clear" w:color="auto" w:fill="FFFFFF"/>
        </w:rPr>
        <w:t>2024年，</w:t>
      </w:r>
      <w:r>
        <w:rPr>
          <w:rFonts w:hint="eastAsia" w:ascii="仿宋_GB2312" w:hAnsi="仿宋_GB2312" w:eastAsia="仿宋_GB2312" w:cs="仿宋_GB2312"/>
          <w:spacing w:val="-4"/>
          <w:sz w:val="32"/>
          <w:szCs w:val="32"/>
        </w:rPr>
        <w:t>指定</w:t>
      </w:r>
      <w:r>
        <w:rPr>
          <w:rFonts w:hint="eastAsia" w:ascii="仿宋_GB2312" w:hAnsi="仿宋_GB2312" w:eastAsia="仿宋_GB2312" w:cs="仿宋_GB2312"/>
          <w:spacing w:val="-4"/>
          <w:sz w:val="32"/>
          <w:szCs w:val="32"/>
          <w:lang w:eastAsia="zh-CN"/>
        </w:rPr>
        <w:t>工作人员</w:t>
      </w:r>
      <w:r>
        <w:rPr>
          <w:rFonts w:hint="eastAsia" w:ascii="仿宋_GB2312" w:hAnsi="仿宋_GB2312" w:eastAsia="仿宋_GB2312" w:cs="仿宋_GB2312"/>
          <w:spacing w:val="-4"/>
          <w:sz w:val="32"/>
          <w:szCs w:val="32"/>
        </w:rPr>
        <w:t>负责</w:t>
      </w:r>
      <w:r>
        <w:rPr>
          <w:rFonts w:hint="eastAsia" w:ascii="仿宋_GB2312" w:hAnsi="仿宋_GB2312" w:eastAsia="仿宋_GB2312" w:cs="仿宋_GB2312"/>
          <w:spacing w:val="-4"/>
          <w:sz w:val="32"/>
          <w:szCs w:val="32"/>
          <w:lang w:eastAsia="zh-CN"/>
        </w:rPr>
        <w:t>保证</w:t>
      </w:r>
      <w:r>
        <w:rPr>
          <w:rFonts w:hint="eastAsia" w:ascii="仿宋_GB2312" w:hAnsi="仿宋_GB2312" w:eastAsia="仿宋_GB2312" w:cs="仿宋_GB2312"/>
          <w:spacing w:val="-4"/>
          <w:sz w:val="32"/>
          <w:szCs w:val="32"/>
        </w:rPr>
        <w:t>政务公开工作的实施情况，确保各项公开任务得到有效落实。 明确职责</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定期检查政务公开内容的准确性、及时性和完整性，</w:t>
      </w:r>
      <w:r>
        <w:rPr>
          <w:rFonts w:hint="eastAsia" w:ascii="仿宋_GB2312" w:hAnsi="仿宋_GB2312" w:eastAsia="仿宋_GB2312" w:cs="仿宋_GB2312"/>
          <w:spacing w:val="-4"/>
          <w:sz w:val="32"/>
          <w:szCs w:val="32"/>
          <w:lang w:eastAsia="zh-CN"/>
        </w:rPr>
        <w:t>及时</w:t>
      </w:r>
      <w:r>
        <w:rPr>
          <w:rFonts w:hint="eastAsia" w:ascii="仿宋_GB2312" w:hAnsi="仿宋_GB2312" w:eastAsia="仿宋_GB2312" w:cs="仿宋_GB2312"/>
          <w:spacing w:val="-4"/>
          <w:sz w:val="32"/>
          <w:szCs w:val="32"/>
        </w:rPr>
        <w:t>处理公众对政务公开工作的建议。 加强内部监督</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通过自查方式，及时发现并纠正政务公开工作中的问题和不足。</w:t>
      </w:r>
      <w:r>
        <w:rPr>
          <w:rFonts w:hint="eastAsia" w:ascii="仿宋_GB2312" w:eastAsia="仿宋_GB2312" w:cs="仿宋_GB2312"/>
          <w:spacing w:val="-4"/>
          <w:sz w:val="32"/>
          <w:szCs w:val="32"/>
          <w:shd w:val="clear" w:color="auto" w:fill="FFFFFF"/>
        </w:rPr>
        <w:t>加强政务公开信息的安全管理，确保政务公开信息的安全性和保密性。进</w:t>
      </w:r>
      <w:r>
        <w:rPr>
          <w:rFonts w:hint="eastAsia" w:ascii="仿宋_GB2312" w:hAnsi="仿宋_GB2312" w:eastAsia="仿宋_GB2312" w:cs="仿宋_GB2312"/>
          <w:spacing w:val="-4"/>
          <w:sz w:val="32"/>
          <w:szCs w:val="32"/>
        </w:rPr>
        <w:t>一步充实政府信息公开工作力量，对工作人员进行培训，重点学习《中华人民共和国政府信息公开条例》</w:t>
      </w:r>
      <w:r>
        <w:rPr>
          <w:rFonts w:ascii="仿宋_GB2312" w:eastAsia="仿宋_GB2312" w:cs="仿宋_GB2312"/>
          <w:spacing w:val="-4"/>
          <w:sz w:val="32"/>
          <w:szCs w:val="32"/>
          <w:shd w:val="clear" w:color="auto" w:fill="FFFFFF"/>
        </w:rPr>
        <w:t>（国务院令第</w:t>
      </w:r>
      <w:r>
        <w:rPr>
          <w:rFonts w:hint="eastAsia" w:ascii="仿宋_GB2312" w:eastAsia="仿宋_GB2312" w:cs="仿宋_GB2312"/>
          <w:spacing w:val="-4"/>
          <w:sz w:val="32"/>
          <w:szCs w:val="32"/>
          <w:shd w:val="clear" w:color="auto" w:fill="FFFFFF"/>
        </w:rPr>
        <w:t>711号，以下简称《条例》）</w:t>
      </w:r>
      <w:r>
        <w:rPr>
          <w:rFonts w:hint="eastAsia" w:ascii="仿宋_GB2312" w:hAnsi="仿宋_GB2312" w:eastAsia="仿宋_GB2312" w:cs="仿宋_GB2312"/>
          <w:spacing w:val="-4"/>
          <w:sz w:val="32"/>
          <w:szCs w:val="32"/>
        </w:rPr>
        <w:t>；</w:t>
      </w:r>
      <w:r>
        <w:rPr>
          <w:rFonts w:hint="eastAsia" w:ascii="仿宋_GB2312" w:eastAsia="仿宋_GB2312" w:cs="仿宋_GB2312"/>
          <w:spacing w:val="-4"/>
          <w:sz w:val="32"/>
          <w:szCs w:val="32"/>
          <w:shd w:val="clear" w:color="auto" w:fill="FFFFFF"/>
        </w:rPr>
        <w:t>《国务院办公厅政府信息与政务公开办公室关于印发＜中华人民共和国政府信息公开工作年度报告格式＞的通知》（国办公开办函〔2021〕30号）</w:t>
      </w:r>
      <w:r>
        <w:rPr>
          <w:rFonts w:hint="eastAsia" w:ascii="仿宋_GB2312" w:hAnsi="仿宋_GB2312" w:eastAsia="仿宋_GB2312" w:cs="仿宋_GB2312"/>
          <w:spacing w:val="-4"/>
          <w:sz w:val="32"/>
          <w:szCs w:val="32"/>
        </w:rPr>
        <w:t>；省政府、市政府、区政府政府信息公开相关</w:t>
      </w:r>
      <w:r>
        <w:rPr>
          <w:rFonts w:hint="eastAsia" w:ascii="仿宋_GB2312" w:hAnsi="Ã¥Â¾Â®Ã¨Â½Â¯Ã©â€ºâ€¦Ã©Â»â€˜" w:eastAsia="仿宋_GB2312" w:cs="仿宋_GB2312"/>
          <w:spacing w:val="-4"/>
          <w:sz w:val="32"/>
          <w:szCs w:val="32"/>
          <w:shd w:val="clear" w:color="auto" w:fill="FFFFFF"/>
        </w:rPr>
        <w:t>法律法规，不断提高工作人员政府信息公开工作能力和水平。</w:t>
      </w:r>
    </w:p>
    <w:p w14:paraId="49E05115">
      <w:pPr>
        <w:pStyle w:val="8"/>
        <w:shd w:val="clear" w:color="auto" w:fill="FFFFFF"/>
        <w:spacing w:before="0" w:beforeAutospacing="0" w:after="0" w:afterAutospacing="0" w:line="560" w:lineRule="exact"/>
        <w:ind w:firstLine="602" w:firstLineChars="200"/>
        <w:jc w:val="both"/>
        <w:rPr>
          <w:rFonts w:ascii="黑体" w:hAnsi="黑体" w:eastAsia="黑体" w:cs="黑体"/>
          <w:bCs/>
          <w:spacing w:val="-4"/>
          <w:sz w:val="32"/>
          <w:szCs w:val="32"/>
        </w:rPr>
      </w:pPr>
      <w:r>
        <w:rPr>
          <w:rFonts w:hint="eastAsia" w:ascii="黑体" w:hAnsi="黑体" w:eastAsia="黑体" w:cs="黑体"/>
          <w:bCs/>
          <w:spacing w:val="-4"/>
          <w:sz w:val="32"/>
          <w:szCs w:val="32"/>
          <w:shd w:val="clear" w:color="auto" w:fill="FFFFFF"/>
        </w:rPr>
        <w:t>二、主动公开政府信息情况</w:t>
      </w:r>
    </w:p>
    <w:tbl>
      <w:tblPr>
        <w:tblStyle w:val="10"/>
        <w:tblW w:w="8824" w:type="dxa"/>
        <w:jc w:val="center"/>
        <w:tblLayout w:type="fixed"/>
        <w:tblCellMar>
          <w:top w:w="0" w:type="dxa"/>
          <w:left w:w="108" w:type="dxa"/>
          <w:bottom w:w="0" w:type="dxa"/>
          <w:right w:w="108" w:type="dxa"/>
        </w:tblCellMar>
      </w:tblPr>
      <w:tblGrid>
        <w:gridCol w:w="2206"/>
        <w:gridCol w:w="2206"/>
        <w:gridCol w:w="2206"/>
        <w:gridCol w:w="2206"/>
      </w:tblGrid>
      <w:tr w14:paraId="526E2CB0">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7B01B89">
            <w:pPr>
              <w:widowControl/>
              <w:spacing w:line="560" w:lineRule="exact"/>
              <w:jc w:val="center"/>
              <w:rPr>
                <w:rFonts w:ascii="黑体" w:hAnsi="黑体" w:eastAsia="黑体" w:cs="宋体"/>
                <w:spacing w:val="-4"/>
                <w:kern w:val="0"/>
                <w:szCs w:val="21"/>
              </w:rPr>
            </w:pPr>
            <w:r>
              <w:rPr>
                <w:rFonts w:hint="eastAsia" w:ascii="黑体" w:hAnsi="黑体" w:eastAsia="黑体" w:cs="宋体"/>
                <w:spacing w:val="-4"/>
                <w:kern w:val="0"/>
                <w:szCs w:val="21"/>
              </w:rPr>
              <w:t>第二十条第（一）项</w:t>
            </w:r>
          </w:p>
        </w:tc>
      </w:tr>
      <w:tr w14:paraId="1F641AD6">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70498D96">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033F4CC">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685424CD">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66CB13CD">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现行有效件数</w:t>
            </w:r>
          </w:p>
        </w:tc>
      </w:tr>
      <w:tr w14:paraId="6388F233">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090EDDD4">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1248BE37">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71B9BA5E">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5F3AAC0E">
            <w:pPr>
              <w:widowControl/>
              <w:spacing w:line="560" w:lineRule="exact"/>
              <w:jc w:val="center"/>
              <w:rPr>
                <w:rFonts w:ascii="仿宋_GB2312" w:hAnsi="Calibri" w:eastAsia="仿宋_GB2312" w:cs="Calibri"/>
                <w:spacing w:val="-4"/>
                <w:kern w:val="0"/>
                <w:szCs w:val="21"/>
              </w:rPr>
            </w:pPr>
            <w:r>
              <w:rPr>
                <w:rFonts w:hint="eastAsia" w:ascii="仿宋_GB2312" w:hAnsi="宋体" w:eastAsia="仿宋_GB2312" w:cs="宋体"/>
                <w:spacing w:val="-4"/>
                <w:kern w:val="0"/>
                <w:szCs w:val="21"/>
              </w:rPr>
              <w:t>0</w:t>
            </w:r>
          </w:p>
        </w:tc>
      </w:tr>
      <w:tr w14:paraId="4F5B71C4">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26386536">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5733F927">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212937E4">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3D5F8E88">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0</w:t>
            </w:r>
          </w:p>
        </w:tc>
      </w:tr>
      <w:tr w14:paraId="4EA94020">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A7D704F">
            <w:pPr>
              <w:widowControl/>
              <w:spacing w:line="560" w:lineRule="exact"/>
              <w:jc w:val="center"/>
              <w:rPr>
                <w:rFonts w:ascii="黑体" w:hAnsi="黑体" w:eastAsia="黑体" w:cs="宋体"/>
                <w:spacing w:val="-4"/>
                <w:kern w:val="0"/>
                <w:szCs w:val="21"/>
              </w:rPr>
            </w:pPr>
            <w:r>
              <w:rPr>
                <w:rFonts w:hint="eastAsia" w:ascii="黑体" w:hAnsi="黑体" w:eastAsia="黑体" w:cs="宋体"/>
                <w:spacing w:val="-4"/>
                <w:kern w:val="0"/>
                <w:szCs w:val="21"/>
              </w:rPr>
              <w:t>第二十条第（五）项</w:t>
            </w:r>
          </w:p>
        </w:tc>
      </w:tr>
      <w:tr w14:paraId="41322A1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1F06A51F">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26309F8">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本年处理决定数量</w:t>
            </w:r>
          </w:p>
        </w:tc>
      </w:tr>
      <w:tr w14:paraId="608C867B">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18975431">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D27B53E">
            <w:pPr>
              <w:widowControl/>
              <w:spacing w:line="560" w:lineRule="exact"/>
              <w:jc w:val="center"/>
              <w:rPr>
                <w:rFonts w:ascii="仿宋_GB2312" w:hAnsi="Calibri" w:eastAsia="仿宋_GB2312" w:cs="Calibri"/>
                <w:spacing w:val="-4"/>
                <w:kern w:val="0"/>
                <w:szCs w:val="21"/>
              </w:rPr>
            </w:pPr>
            <w:r>
              <w:rPr>
                <w:rFonts w:hint="eastAsia" w:ascii="仿宋_GB2312" w:hAnsi="Calibri" w:eastAsia="仿宋_GB2312" w:cs="Calibri"/>
                <w:spacing w:val="-4"/>
                <w:kern w:val="0"/>
                <w:szCs w:val="21"/>
              </w:rPr>
              <w:t>12308</w:t>
            </w:r>
          </w:p>
        </w:tc>
      </w:tr>
      <w:tr w14:paraId="40458A89">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E5CF77D">
            <w:pPr>
              <w:widowControl/>
              <w:spacing w:line="560" w:lineRule="exact"/>
              <w:jc w:val="center"/>
              <w:rPr>
                <w:rFonts w:ascii="黑体" w:hAnsi="黑体" w:eastAsia="黑体" w:cs="宋体"/>
                <w:spacing w:val="-4"/>
                <w:kern w:val="0"/>
                <w:szCs w:val="21"/>
              </w:rPr>
            </w:pPr>
            <w:r>
              <w:rPr>
                <w:rFonts w:hint="eastAsia" w:ascii="黑体" w:hAnsi="黑体" w:eastAsia="黑体" w:cs="宋体"/>
                <w:spacing w:val="-4"/>
                <w:kern w:val="0"/>
                <w:szCs w:val="21"/>
              </w:rPr>
              <w:t>第二十条第（六）项</w:t>
            </w:r>
          </w:p>
        </w:tc>
      </w:tr>
      <w:tr w14:paraId="0DADF6A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47062F3A">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9686AE">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本年处理决定数量</w:t>
            </w:r>
          </w:p>
        </w:tc>
      </w:tr>
      <w:tr w14:paraId="63BBFC7F">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5195B8B6">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D9B9FFF">
            <w:pPr>
              <w:widowControl/>
              <w:spacing w:line="560" w:lineRule="exact"/>
              <w:jc w:val="center"/>
              <w:rPr>
                <w:rFonts w:ascii="仿宋_GB2312" w:hAnsi="Calibri" w:eastAsia="仿宋_GB2312" w:cs="Calibri"/>
                <w:spacing w:val="-4"/>
                <w:kern w:val="0"/>
                <w:szCs w:val="21"/>
              </w:rPr>
            </w:pPr>
            <w:r>
              <w:rPr>
                <w:rFonts w:hint="eastAsia" w:ascii="仿宋_GB2312" w:hAnsi="Calibri" w:eastAsia="仿宋_GB2312" w:cs="Calibri"/>
                <w:spacing w:val="-4"/>
                <w:kern w:val="0"/>
                <w:szCs w:val="21"/>
              </w:rPr>
              <w:t>0</w:t>
            </w:r>
          </w:p>
        </w:tc>
      </w:tr>
      <w:tr w14:paraId="1AA667E2">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416C2815">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0CF908D">
            <w:pPr>
              <w:widowControl/>
              <w:spacing w:line="560" w:lineRule="exact"/>
              <w:jc w:val="center"/>
              <w:rPr>
                <w:rFonts w:ascii="仿宋_GB2312" w:hAnsi="Calibri" w:eastAsia="仿宋_GB2312" w:cs="Calibri"/>
                <w:spacing w:val="-4"/>
                <w:kern w:val="0"/>
                <w:szCs w:val="21"/>
              </w:rPr>
            </w:pPr>
            <w:r>
              <w:rPr>
                <w:rFonts w:hint="eastAsia" w:ascii="仿宋_GB2312" w:hAnsi="Calibri" w:eastAsia="仿宋_GB2312" w:cs="Calibri"/>
                <w:spacing w:val="-4"/>
                <w:kern w:val="0"/>
                <w:szCs w:val="21"/>
              </w:rPr>
              <w:t>0</w:t>
            </w:r>
          </w:p>
        </w:tc>
      </w:tr>
      <w:tr w14:paraId="2F1AEA88">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CA96D27">
            <w:pPr>
              <w:widowControl/>
              <w:spacing w:line="560" w:lineRule="exact"/>
              <w:jc w:val="center"/>
              <w:rPr>
                <w:rFonts w:ascii="黑体" w:hAnsi="黑体" w:eastAsia="黑体" w:cs="宋体"/>
                <w:spacing w:val="-4"/>
                <w:kern w:val="0"/>
                <w:szCs w:val="21"/>
              </w:rPr>
            </w:pPr>
            <w:r>
              <w:rPr>
                <w:rFonts w:hint="eastAsia" w:ascii="黑体" w:hAnsi="黑体" w:eastAsia="黑体" w:cs="宋体"/>
                <w:spacing w:val="-4"/>
                <w:kern w:val="0"/>
                <w:szCs w:val="21"/>
              </w:rPr>
              <w:t>第二十条第（八）项</w:t>
            </w:r>
          </w:p>
        </w:tc>
      </w:tr>
      <w:tr w14:paraId="58202C81">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0F596A02">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3549DC5">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本年收费金额（单位：万元）</w:t>
            </w:r>
          </w:p>
        </w:tc>
      </w:tr>
      <w:tr w14:paraId="18F02A41">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14:paraId="4D6D4B07">
            <w:pPr>
              <w:widowControl/>
              <w:spacing w:line="560" w:lineRule="exact"/>
              <w:jc w:val="center"/>
              <w:rPr>
                <w:rFonts w:ascii="仿宋_GB2312" w:hAnsi="宋体" w:eastAsia="仿宋_GB2312" w:cs="宋体"/>
                <w:spacing w:val="-4"/>
                <w:kern w:val="0"/>
                <w:szCs w:val="21"/>
              </w:rPr>
            </w:pPr>
            <w:r>
              <w:rPr>
                <w:rFonts w:hint="eastAsia" w:ascii="仿宋_GB2312" w:hAnsi="宋体" w:eastAsia="仿宋_GB2312" w:cs="宋体"/>
                <w:spacing w:val="-4"/>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4FE8DE8">
            <w:pPr>
              <w:widowControl/>
              <w:spacing w:line="560" w:lineRule="exact"/>
              <w:jc w:val="center"/>
              <w:rPr>
                <w:rFonts w:ascii="仿宋_GB2312" w:hAnsi="Calibri" w:eastAsia="仿宋_GB2312" w:cs="Calibri"/>
                <w:spacing w:val="-4"/>
                <w:kern w:val="0"/>
                <w:szCs w:val="21"/>
              </w:rPr>
            </w:pPr>
            <w:r>
              <w:rPr>
                <w:rFonts w:hint="eastAsia" w:ascii="仿宋_GB2312" w:hAnsi="Calibri" w:eastAsia="仿宋_GB2312" w:cs="Calibri"/>
                <w:spacing w:val="-4"/>
                <w:kern w:val="0"/>
                <w:szCs w:val="21"/>
              </w:rPr>
              <w:t>0</w:t>
            </w:r>
          </w:p>
        </w:tc>
      </w:tr>
    </w:tbl>
    <w:p w14:paraId="6347A3C5">
      <w:pPr>
        <w:spacing w:line="560" w:lineRule="exact"/>
        <w:ind w:firstLine="602" w:firstLineChars="200"/>
        <w:rPr>
          <w:rFonts w:ascii="黑体" w:hAnsi="黑体" w:eastAsia="黑体" w:cs="黑体"/>
          <w:bCs/>
          <w:spacing w:val="-4"/>
          <w:kern w:val="0"/>
          <w:sz w:val="32"/>
          <w:szCs w:val="32"/>
          <w:shd w:val="clear" w:color="auto" w:fill="FFFFFF"/>
          <w:lang w:bidi="ar"/>
        </w:rPr>
      </w:pPr>
      <w:r>
        <w:rPr>
          <w:rFonts w:hint="eastAsia" w:ascii="黑体" w:hAnsi="黑体" w:eastAsia="黑体" w:cs="黑体"/>
          <w:bCs/>
          <w:spacing w:val="-4"/>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6F93A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02808934">
            <w:pPr>
              <w:widowControl/>
              <w:spacing w:line="360" w:lineRule="exact"/>
              <w:jc w:val="center"/>
              <w:rPr>
                <w:rFonts w:ascii="楷体_GB2312" w:hAnsi="黑体" w:eastAsia="楷体_GB2312"/>
                <w:spacing w:val="-4"/>
                <w:kern w:val="0"/>
                <w:szCs w:val="21"/>
              </w:rPr>
            </w:pPr>
            <w:r>
              <w:rPr>
                <w:rFonts w:hint="eastAsia" w:ascii="楷体_GB2312" w:hAnsi="黑体" w:eastAsia="楷体_GB2312"/>
                <w:spacing w:val="-4"/>
                <w:kern w:val="0"/>
                <w:szCs w:val="21"/>
              </w:rPr>
              <w:t>（本列数据的勾稽关系为：第一项加第二项之和，</w:t>
            </w:r>
          </w:p>
          <w:p w14:paraId="0B42536E">
            <w:pPr>
              <w:widowControl/>
              <w:spacing w:line="360" w:lineRule="exact"/>
              <w:jc w:val="center"/>
              <w:rPr>
                <w:rFonts w:ascii="仿宋_GB2312" w:eastAsia="仿宋_GB2312"/>
                <w:spacing w:val="-4"/>
                <w:szCs w:val="21"/>
              </w:rPr>
            </w:pPr>
            <w:r>
              <w:rPr>
                <w:rFonts w:hint="eastAsia" w:ascii="楷体_GB2312" w:hAnsi="黑体" w:eastAsia="楷体_GB2312"/>
                <w:spacing w:val="-4"/>
                <w:kern w:val="0"/>
                <w:szCs w:val="21"/>
              </w:rPr>
              <w:t>等于第三项加第四项之和）</w:t>
            </w:r>
          </w:p>
        </w:tc>
        <w:tc>
          <w:tcPr>
            <w:tcW w:w="4454" w:type="dxa"/>
            <w:gridSpan w:val="7"/>
            <w:shd w:val="clear" w:color="auto" w:fill="auto"/>
            <w:tcMar>
              <w:left w:w="108" w:type="dxa"/>
              <w:right w:w="108" w:type="dxa"/>
            </w:tcMar>
            <w:vAlign w:val="center"/>
          </w:tcPr>
          <w:p w14:paraId="2D26E777">
            <w:pPr>
              <w:widowControl/>
              <w:spacing w:line="360" w:lineRule="exact"/>
              <w:jc w:val="center"/>
              <w:rPr>
                <w:rFonts w:ascii="黑体" w:hAnsi="黑体" w:eastAsia="黑体"/>
                <w:spacing w:val="-4"/>
                <w:szCs w:val="21"/>
              </w:rPr>
            </w:pPr>
            <w:r>
              <w:rPr>
                <w:rFonts w:hint="eastAsia" w:ascii="黑体" w:hAnsi="黑体" w:eastAsia="黑体"/>
                <w:spacing w:val="-4"/>
                <w:kern w:val="0"/>
                <w:szCs w:val="21"/>
              </w:rPr>
              <w:t>申请人情况</w:t>
            </w:r>
          </w:p>
        </w:tc>
      </w:tr>
      <w:tr w14:paraId="40EA0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00C6C9DE">
            <w:pPr>
              <w:spacing w:line="360" w:lineRule="exact"/>
              <w:jc w:val="center"/>
              <w:rPr>
                <w:rFonts w:ascii="仿宋_GB2312" w:eastAsia="仿宋_GB2312"/>
                <w:spacing w:val="-4"/>
                <w:szCs w:val="21"/>
              </w:rPr>
            </w:pPr>
          </w:p>
        </w:tc>
        <w:tc>
          <w:tcPr>
            <w:tcW w:w="752" w:type="dxa"/>
            <w:vMerge w:val="restart"/>
            <w:shd w:val="clear" w:color="auto" w:fill="auto"/>
            <w:tcMar>
              <w:left w:w="108" w:type="dxa"/>
              <w:right w:w="108" w:type="dxa"/>
            </w:tcMar>
            <w:vAlign w:val="center"/>
          </w:tcPr>
          <w:p w14:paraId="2DCDEB81">
            <w:pPr>
              <w:widowControl/>
              <w:spacing w:line="360" w:lineRule="exact"/>
              <w:rPr>
                <w:rFonts w:ascii="黑体" w:hAnsi="黑体" w:eastAsia="黑体"/>
                <w:spacing w:val="-4"/>
                <w:szCs w:val="21"/>
              </w:rPr>
            </w:pPr>
            <w:r>
              <w:rPr>
                <w:rFonts w:hint="eastAsia" w:ascii="黑体" w:hAnsi="黑体" w:eastAsia="黑体"/>
                <w:spacing w:val="-4"/>
                <w:kern w:val="0"/>
                <w:szCs w:val="21"/>
              </w:rPr>
              <w:t>自然人</w:t>
            </w:r>
          </w:p>
        </w:tc>
        <w:tc>
          <w:tcPr>
            <w:tcW w:w="3001" w:type="dxa"/>
            <w:gridSpan w:val="5"/>
            <w:shd w:val="clear" w:color="auto" w:fill="auto"/>
            <w:tcMar>
              <w:left w:w="108" w:type="dxa"/>
              <w:right w:w="108" w:type="dxa"/>
            </w:tcMar>
            <w:vAlign w:val="center"/>
          </w:tcPr>
          <w:p w14:paraId="2D393292">
            <w:pPr>
              <w:widowControl/>
              <w:spacing w:line="360" w:lineRule="exact"/>
              <w:jc w:val="center"/>
              <w:rPr>
                <w:rFonts w:ascii="黑体" w:hAnsi="黑体" w:eastAsia="黑体"/>
                <w:spacing w:val="-4"/>
                <w:szCs w:val="21"/>
              </w:rPr>
            </w:pPr>
            <w:r>
              <w:rPr>
                <w:rFonts w:hint="eastAsia" w:ascii="黑体" w:hAnsi="黑体" w:eastAsia="黑体"/>
                <w:spacing w:val="-4"/>
                <w:kern w:val="0"/>
                <w:szCs w:val="21"/>
              </w:rPr>
              <w:t>法人或其他组织</w:t>
            </w:r>
          </w:p>
        </w:tc>
        <w:tc>
          <w:tcPr>
            <w:tcW w:w="701" w:type="dxa"/>
            <w:vMerge w:val="restart"/>
            <w:shd w:val="clear" w:color="auto" w:fill="auto"/>
            <w:tcMar>
              <w:left w:w="108" w:type="dxa"/>
              <w:right w:w="108" w:type="dxa"/>
            </w:tcMar>
            <w:vAlign w:val="center"/>
          </w:tcPr>
          <w:p w14:paraId="0D040F69">
            <w:pPr>
              <w:widowControl/>
              <w:spacing w:line="360" w:lineRule="exact"/>
              <w:rPr>
                <w:rFonts w:ascii="黑体" w:hAnsi="黑体" w:eastAsia="黑体"/>
                <w:spacing w:val="-4"/>
                <w:szCs w:val="21"/>
              </w:rPr>
            </w:pPr>
            <w:r>
              <w:rPr>
                <w:rFonts w:hint="eastAsia" w:ascii="黑体" w:hAnsi="黑体" w:eastAsia="黑体"/>
                <w:spacing w:val="-4"/>
                <w:kern w:val="0"/>
                <w:szCs w:val="21"/>
              </w:rPr>
              <w:t>总计</w:t>
            </w:r>
          </w:p>
        </w:tc>
      </w:tr>
      <w:tr w14:paraId="49810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5E4160CD">
            <w:pPr>
              <w:spacing w:line="360" w:lineRule="exact"/>
              <w:jc w:val="center"/>
              <w:rPr>
                <w:rFonts w:ascii="仿宋_GB2312" w:eastAsia="仿宋_GB2312"/>
                <w:spacing w:val="-4"/>
                <w:szCs w:val="21"/>
              </w:rPr>
            </w:pPr>
          </w:p>
        </w:tc>
        <w:tc>
          <w:tcPr>
            <w:tcW w:w="752" w:type="dxa"/>
            <w:vMerge w:val="continue"/>
            <w:shd w:val="clear" w:color="auto" w:fill="auto"/>
            <w:tcMar>
              <w:left w:w="108" w:type="dxa"/>
              <w:right w:w="108" w:type="dxa"/>
            </w:tcMar>
            <w:vAlign w:val="center"/>
          </w:tcPr>
          <w:p w14:paraId="468290FE">
            <w:pPr>
              <w:spacing w:line="360" w:lineRule="exact"/>
              <w:jc w:val="center"/>
              <w:rPr>
                <w:rFonts w:ascii="黑体" w:hAnsi="黑体" w:eastAsia="黑体"/>
                <w:spacing w:val="-4"/>
                <w:szCs w:val="21"/>
              </w:rPr>
            </w:pPr>
          </w:p>
        </w:tc>
        <w:tc>
          <w:tcPr>
            <w:tcW w:w="540" w:type="dxa"/>
            <w:shd w:val="clear" w:color="auto" w:fill="auto"/>
            <w:tcMar>
              <w:left w:w="108" w:type="dxa"/>
              <w:right w:w="108" w:type="dxa"/>
            </w:tcMar>
            <w:vAlign w:val="center"/>
          </w:tcPr>
          <w:p w14:paraId="3443EFD8">
            <w:pPr>
              <w:widowControl/>
              <w:spacing w:line="360" w:lineRule="exact"/>
              <w:ind w:right="-101" w:rightChars="-51"/>
              <w:rPr>
                <w:rFonts w:ascii="黑体" w:hAnsi="黑体" w:eastAsia="黑体"/>
                <w:spacing w:val="-4"/>
                <w:szCs w:val="21"/>
              </w:rPr>
            </w:pPr>
            <w:r>
              <w:rPr>
                <w:rFonts w:hint="eastAsia" w:ascii="黑体" w:hAnsi="黑体" w:eastAsia="黑体"/>
                <w:spacing w:val="-4"/>
                <w:kern w:val="0"/>
                <w:szCs w:val="21"/>
              </w:rPr>
              <w:t>商业企业</w:t>
            </w:r>
          </w:p>
        </w:tc>
        <w:tc>
          <w:tcPr>
            <w:tcW w:w="540" w:type="dxa"/>
            <w:shd w:val="clear" w:color="auto" w:fill="auto"/>
            <w:tcMar>
              <w:left w:w="108" w:type="dxa"/>
              <w:right w:w="108" w:type="dxa"/>
            </w:tcMar>
            <w:vAlign w:val="center"/>
          </w:tcPr>
          <w:p w14:paraId="2BEDAC0D">
            <w:pPr>
              <w:widowControl/>
              <w:spacing w:line="360" w:lineRule="exact"/>
              <w:ind w:right="-101" w:rightChars="-51"/>
              <w:rPr>
                <w:rFonts w:ascii="黑体" w:hAnsi="黑体" w:eastAsia="黑体"/>
                <w:spacing w:val="-4"/>
                <w:szCs w:val="21"/>
              </w:rPr>
            </w:pPr>
            <w:r>
              <w:rPr>
                <w:rFonts w:hint="eastAsia" w:ascii="黑体" w:hAnsi="黑体" w:eastAsia="黑体"/>
                <w:spacing w:val="-4"/>
                <w:kern w:val="0"/>
                <w:szCs w:val="21"/>
              </w:rPr>
              <w:t>科研机构</w:t>
            </w:r>
          </w:p>
        </w:tc>
        <w:tc>
          <w:tcPr>
            <w:tcW w:w="720" w:type="dxa"/>
            <w:shd w:val="clear" w:color="auto" w:fill="auto"/>
            <w:tcMar>
              <w:left w:w="108" w:type="dxa"/>
              <w:right w:w="108" w:type="dxa"/>
            </w:tcMar>
            <w:vAlign w:val="center"/>
          </w:tcPr>
          <w:p w14:paraId="41497B9D">
            <w:pPr>
              <w:widowControl/>
              <w:spacing w:line="360" w:lineRule="exact"/>
              <w:ind w:right="-101" w:rightChars="-51"/>
              <w:rPr>
                <w:rFonts w:ascii="黑体" w:hAnsi="黑体" w:eastAsia="黑体"/>
                <w:spacing w:val="-4"/>
                <w:szCs w:val="21"/>
              </w:rPr>
            </w:pPr>
            <w:r>
              <w:rPr>
                <w:rFonts w:hint="eastAsia" w:ascii="黑体" w:hAnsi="黑体" w:eastAsia="黑体"/>
                <w:spacing w:val="-4"/>
                <w:kern w:val="0"/>
                <w:szCs w:val="21"/>
              </w:rPr>
              <w:t>社会公益组织</w:t>
            </w:r>
          </w:p>
        </w:tc>
        <w:tc>
          <w:tcPr>
            <w:tcW w:w="675" w:type="dxa"/>
            <w:shd w:val="clear" w:color="auto" w:fill="auto"/>
            <w:tcMar>
              <w:left w:w="108" w:type="dxa"/>
              <w:right w:w="108" w:type="dxa"/>
            </w:tcMar>
            <w:vAlign w:val="center"/>
          </w:tcPr>
          <w:p w14:paraId="03AD06F0">
            <w:pPr>
              <w:widowControl/>
              <w:spacing w:line="360" w:lineRule="exact"/>
              <w:ind w:right="-101" w:rightChars="-51"/>
              <w:rPr>
                <w:rFonts w:ascii="黑体" w:hAnsi="黑体" w:eastAsia="黑体"/>
                <w:spacing w:val="-4"/>
                <w:szCs w:val="21"/>
              </w:rPr>
            </w:pPr>
            <w:r>
              <w:rPr>
                <w:rFonts w:hint="eastAsia" w:ascii="黑体" w:hAnsi="黑体" w:eastAsia="黑体"/>
                <w:spacing w:val="-4"/>
                <w:kern w:val="0"/>
                <w:szCs w:val="21"/>
              </w:rPr>
              <w:t>法律服务机构</w:t>
            </w:r>
          </w:p>
        </w:tc>
        <w:tc>
          <w:tcPr>
            <w:tcW w:w="526" w:type="dxa"/>
            <w:shd w:val="clear" w:color="auto" w:fill="auto"/>
            <w:tcMar>
              <w:left w:w="108" w:type="dxa"/>
              <w:right w:w="108" w:type="dxa"/>
            </w:tcMar>
            <w:vAlign w:val="center"/>
          </w:tcPr>
          <w:p w14:paraId="20F4EE5D">
            <w:pPr>
              <w:widowControl/>
              <w:spacing w:line="360" w:lineRule="exact"/>
              <w:ind w:right="-127" w:rightChars="-64"/>
              <w:rPr>
                <w:rFonts w:ascii="黑体" w:hAnsi="黑体" w:eastAsia="黑体"/>
                <w:spacing w:val="-4"/>
                <w:szCs w:val="21"/>
              </w:rPr>
            </w:pPr>
            <w:r>
              <w:rPr>
                <w:rFonts w:hint="eastAsia" w:ascii="黑体" w:hAnsi="黑体" w:eastAsia="黑体"/>
                <w:spacing w:val="-4"/>
                <w:kern w:val="0"/>
                <w:szCs w:val="21"/>
              </w:rPr>
              <w:t>其他</w:t>
            </w:r>
          </w:p>
        </w:tc>
        <w:tc>
          <w:tcPr>
            <w:tcW w:w="701" w:type="dxa"/>
            <w:vMerge w:val="continue"/>
            <w:shd w:val="clear" w:color="auto" w:fill="auto"/>
            <w:tcMar>
              <w:left w:w="108" w:type="dxa"/>
              <w:right w:w="108" w:type="dxa"/>
            </w:tcMar>
            <w:vAlign w:val="center"/>
          </w:tcPr>
          <w:p w14:paraId="688DF7DF">
            <w:pPr>
              <w:spacing w:line="360" w:lineRule="exact"/>
              <w:jc w:val="center"/>
              <w:rPr>
                <w:rFonts w:ascii="仿宋_GB2312" w:eastAsia="仿宋_GB2312"/>
                <w:spacing w:val="-4"/>
                <w:szCs w:val="21"/>
              </w:rPr>
            </w:pPr>
          </w:p>
        </w:tc>
      </w:tr>
      <w:tr w14:paraId="72F6E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051164F8">
            <w:pPr>
              <w:widowControl/>
              <w:spacing w:line="360" w:lineRule="exact"/>
              <w:rPr>
                <w:rFonts w:ascii="黑体" w:hAnsi="黑体" w:eastAsia="黑体"/>
                <w:spacing w:val="-4"/>
                <w:szCs w:val="21"/>
              </w:rPr>
            </w:pPr>
            <w:r>
              <w:rPr>
                <w:rFonts w:hint="eastAsia" w:ascii="黑体" w:hAnsi="黑体" w:eastAsia="黑体"/>
                <w:spacing w:val="-4"/>
                <w:kern w:val="0"/>
                <w:szCs w:val="21"/>
              </w:rPr>
              <w:t>一、</w:t>
            </w:r>
            <w:bookmarkStart w:id="0" w:name="_Hlk66973412"/>
            <w:r>
              <w:rPr>
                <w:rFonts w:hint="eastAsia" w:ascii="黑体" w:hAnsi="黑体" w:eastAsia="黑体"/>
                <w:spacing w:val="-4"/>
                <w:kern w:val="0"/>
                <w:szCs w:val="21"/>
              </w:rPr>
              <w:t>本年新收政府信息公开申请数量</w:t>
            </w:r>
            <w:bookmarkEnd w:id="0"/>
          </w:p>
        </w:tc>
        <w:tc>
          <w:tcPr>
            <w:tcW w:w="752" w:type="dxa"/>
            <w:shd w:val="clear" w:color="auto" w:fill="auto"/>
            <w:tcMar>
              <w:left w:w="108" w:type="dxa"/>
              <w:right w:w="108" w:type="dxa"/>
            </w:tcMar>
            <w:vAlign w:val="center"/>
          </w:tcPr>
          <w:p w14:paraId="5DF01F79">
            <w:pPr>
              <w:widowControl/>
              <w:spacing w:line="360" w:lineRule="exact"/>
              <w:jc w:val="center"/>
              <w:rPr>
                <w:rFonts w:ascii="仿宋_GB2312" w:eastAsia="仿宋_GB2312"/>
                <w:spacing w:val="-4"/>
                <w:szCs w:val="21"/>
              </w:rPr>
            </w:pPr>
            <w:r>
              <w:rPr>
                <w:rFonts w:ascii="仿宋_GB2312" w:eastAsia="仿宋_GB2312"/>
                <w:spacing w:val="-4"/>
                <w:szCs w:val="21"/>
              </w:rPr>
              <w:t>1</w:t>
            </w:r>
          </w:p>
        </w:tc>
        <w:tc>
          <w:tcPr>
            <w:tcW w:w="540" w:type="dxa"/>
            <w:shd w:val="clear" w:color="auto" w:fill="auto"/>
            <w:tcMar>
              <w:left w:w="108" w:type="dxa"/>
              <w:right w:w="108" w:type="dxa"/>
            </w:tcMar>
            <w:vAlign w:val="center"/>
          </w:tcPr>
          <w:p w14:paraId="11E5C0B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61DDD35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64B4D47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DB5823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00420A8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49C18B30">
            <w:pPr>
              <w:widowControl/>
              <w:spacing w:line="360" w:lineRule="exact"/>
              <w:jc w:val="center"/>
              <w:rPr>
                <w:rFonts w:ascii="仿宋_GB2312" w:eastAsia="仿宋_GB2312"/>
                <w:spacing w:val="-4"/>
                <w:szCs w:val="21"/>
              </w:rPr>
            </w:pPr>
            <w:r>
              <w:rPr>
                <w:rFonts w:ascii="仿宋_GB2312" w:eastAsia="仿宋_GB2312"/>
                <w:spacing w:val="-4"/>
                <w:szCs w:val="21"/>
              </w:rPr>
              <w:t>1</w:t>
            </w:r>
          </w:p>
        </w:tc>
      </w:tr>
      <w:tr w14:paraId="5DB0F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3E849926">
            <w:pPr>
              <w:widowControl/>
              <w:spacing w:line="360" w:lineRule="exact"/>
              <w:rPr>
                <w:rFonts w:ascii="黑体" w:hAnsi="黑体" w:eastAsia="黑体"/>
                <w:spacing w:val="-4"/>
                <w:szCs w:val="21"/>
              </w:rPr>
            </w:pPr>
            <w:r>
              <w:rPr>
                <w:rFonts w:hint="eastAsia" w:ascii="黑体" w:hAnsi="黑体" w:eastAsia="黑体"/>
                <w:spacing w:val="-4"/>
                <w:kern w:val="0"/>
                <w:szCs w:val="21"/>
              </w:rPr>
              <w:t>二、上年结转政府信息公开申请数量</w:t>
            </w:r>
          </w:p>
        </w:tc>
        <w:tc>
          <w:tcPr>
            <w:tcW w:w="752" w:type="dxa"/>
            <w:shd w:val="clear" w:color="auto" w:fill="auto"/>
            <w:tcMar>
              <w:left w:w="108" w:type="dxa"/>
              <w:right w:w="108" w:type="dxa"/>
            </w:tcMar>
            <w:vAlign w:val="center"/>
          </w:tcPr>
          <w:p w14:paraId="4A62E4B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0EE925E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803150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793EA4E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26C5D09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0C612EE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62AF8D2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09211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48BAE8C0">
            <w:pPr>
              <w:widowControl/>
              <w:spacing w:after="180" w:line="360" w:lineRule="exact"/>
              <w:rPr>
                <w:rFonts w:ascii="黑体" w:hAnsi="黑体" w:eastAsia="黑体"/>
                <w:spacing w:val="-4"/>
                <w:szCs w:val="21"/>
              </w:rPr>
            </w:pPr>
            <w:r>
              <w:rPr>
                <w:rFonts w:hint="eastAsia" w:ascii="黑体" w:hAnsi="黑体" w:eastAsia="黑体"/>
                <w:spacing w:val="-4"/>
                <w:kern w:val="0"/>
                <w:szCs w:val="21"/>
              </w:rPr>
              <w:t>三、本年度办理结果</w:t>
            </w:r>
          </w:p>
        </w:tc>
        <w:tc>
          <w:tcPr>
            <w:tcW w:w="4672" w:type="dxa"/>
            <w:gridSpan w:val="2"/>
            <w:shd w:val="clear" w:color="auto" w:fill="auto"/>
            <w:tcMar>
              <w:left w:w="108" w:type="dxa"/>
              <w:right w:w="108" w:type="dxa"/>
            </w:tcMar>
            <w:vAlign w:val="center"/>
          </w:tcPr>
          <w:p w14:paraId="5490BFD6">
            <w:pPr>
              <w:widowControl/>
              <w:spacing w:line="360" w:lineRule="exact"/>
              <w:rPr>
                <w:rFonts w:ascii="黑体" w:hAnsi="黑体" w:eastAsia="黑体"/>
                <w:spacing w:val="-4"/>
                <w:szCs w:val="21"/>
              </w:rPr>
            </w:pPr>
            <w:r>
              <w:rPr>
                <w:rFonts w:hint="eastAsia" w:ascii="黑体" w:hAnsi="黑体" w:eastAsia="黑体"/>
                <w:spacing w:val="-4"/>
                <w:kern w:val="0"/>
                <w:szCs w:val="21"/>
              </w:rPr>
              <w:t>（一）予以公开</w:t>
            </w:r>
          </w:p>
        </w:tc>
        <w:tc>
          <w:tcPr>
            <w:tcW w:w="752" w:type="dxa"/>
            <w:shd w:val="clear" w:color="auto" w:fill="auto"/>
            <w:tcMar>
              <w:left w:w="108" w:type="dxa"/>
              <w:right w:w="108" w:type="dxa"/>
            </w:tcMar>
            <w:vAlign w:val="center"/>
          </w:tcPr>
          <w:p w14:paraId="78AB3B8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6240D15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672F899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73F1DD9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7938791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0B686F8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99227A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040C1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AC324D5">
            <w:pPr>
              <w:spacing w:line="360" w:lineRule="exact"/>
              <w:rPr>
                <w:rFonts w:ascii="黑体" w:hAnsi="黑体" w:eastAsia="黑体"/>
                <w:spacing w:val="-4"/>
                <w:szCs w:val="21"/>
              </w:rPr>
            </w:pPr>
          </w:p>
        </w:tc>
        <w:tc>
          <w:tcPr>
            <w:tcW w:w="4672" w:type="dxa"/>
            <w:gridSpan w:val="2"/>
            <w:shd w:val="clear" w:color="auto" w:fill="auto"/>
            <w:tcMar>
              <w:left w:w="108" w:type="dxa"/>
              <w:right w:w="108" w:type="dxa"/>
            </w:tcMar>
            <w:vAlign w:val="center"/>
          </w:tcPr>
          <w:p w14:paraId="6CBB3FD2">
            <w:pPr>
              <w:widowControl/>
              <w:spacing w:line="360" w:lineRule="exact"/>
              <w:rPr>
                <w:rFonts w:ascii="黑体" w:hAnsi="黑体" w:eastAsia="黑体"/>
                <w:spacing w:val="-4"/>
                <w:szCs w:val="21"/>
              </w:rPr>
            </w:pPr>
            <w:r>
              <w:rPr>
                <w:rFonts w:hint="eastAsia" w:ascii="黑体" w:hAnsi="黑体" w:eastAsia="黑体"/>
                <w:spacing w:val="-4"/>
                <w:kern w:val="0"/>
                <w:szCs w:val="21"/>
              </w:rPr>
              <w:t>（二）部分公开（</w:t>
            </w:r>
            <w:bookmarkStart w:id="1" w:name="_Hlk66973981"/>
            <w:r>
              <w:rPr>
                <w:rFonts w:hint="eastAsia" w:ascii="黑体" w:hAnsi="黑体" w:eastAsia="黑体"/>
                <w:spacing w:val="-4"/>
                <w:kern w:val="0"/>
                <w:szCs w:val="21"/>
              </w:rPr>
              <w:t>区分处理的，只计这一情形，不计其他情形</w:t>
            </w:r>
            <w:bookmarkEnd w:id="1"/>
            <w:r>
              <w:rPr>
                <w:rFonts w:hint="eastAsia" w:ascii="黑体" w:hAnsi="黑体" w:eastAsia="黑体"/>
                <w:spacing w:val="-4"/>
                <w:kern w:val="0"/>
                <w:szCs w:val="21"/>
              </w:rPr>
              <w:t>）</w:t>
            </w:r>
          </w:p>
        </w:tc>
        <w:tc>
          <w:tcPr>
            <w:tcW w:w="752" w:type="dxa"/>
            <w:shd w:val="clear" w:color="auto" w:fill="auto"/>
            <w:tcMar>
              <w:left w:w="108" w:type="dxa"/>
              <w:right w:w="108" w:type="dxa"/>
            </w:tcMar>
            <w:vAlign w:val="center"/>
          </w:tcPr>
          <w:p w14:paraId="1C2979E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1AE582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B31197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EE0F09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26AC606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70BF0F7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CBC233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4423A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9952E89">
            <w:pPr>
              <w:spacing w:line="360" w:lineRule="exact"/>
              <w:rPr>
                <w:rFonts w:ascii="黑体" w:hAnsi="黑体" w:eastAsia="黑体"/>
                <w:spacing w:val="-4"/>
                <w:szCs w:val="21"/>
              </w:rPr>
            </w:pPr>
          </w:p>
        </w:tc>
        <w:tc>
          <w:tcPr>
            <w:tcW w:w="1699" w:type="dxa"/>
            <w:vMerge w:val="restart"/>
            <w:shd w:val="clear" w:color="auto" w:fill="auto"/>
            <w:tcMar>
              <w:left w:w="108" w:type="dxa"/>
              <w:right w:w="108" w:type="dxa"/>
            </w:tcMar>
            <w:vAlign w:val="center"/>
          </w:tcPr>
          <w:p w14:paraId="66D5D858">
            <w:pPr>
              <w:widowControl/>
              <w:spacing w:line="360" w:lineRule="exact"/>
              <w:ind w:left="-101" w:leftChars="-51"/>
              <w:rPr>
                <w:rFonts w:ascii="黑体" w:hAnsi="黑体" w:eastAsia="黑体"/>
                <w:spacing w:val="-4"/>
                <w:szCs w:val="21"/>
              </w:rPr>
            </w:pPr>
            <w:r>
              <w:rPr>
                <w:rFonts w:hint="eastAsia" w:ascii="黑体" w:hAnsi="黑体" w:eastAsia="黑体"/>
                <w:spacing w:val="-4"/>
                <w:kern w:val="0"/>
                <w:szCs w:val="21"/>
              </w:rPr>
              <w:t>（三）不予公开</w:t>
            </w:r>
          </w:p>
        </w:tc>
        <w:tc>
          <w:tcPr>
            <w:tcW w:w="2973" w:type="dxa"/>
            <w:shd w:val="clear" w:color="auto" w:fill="auto"/>
            <w:tcMar>
              <w:left w:w="108" w:type="dxa"/>
              <w:right w:w="108" w:type="dxa"/>
            </w:tcMar>
            <w:vAlign w:val="center"/>
          </w:tcPr>
          <w:p w14:paraId="36D508AD">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1.属于国家秘密</w:t>
            </w:r>
          </w:p>
        </w:tc>
        <w:tc>
          <w:tcPr>
            <w:tcW w:w="752" w:type="dxa"/>
            <w:shd w:val="clear" w:color="auto" w:fill="auto"/>
            <w:tcMar>
              <w:left w:w="108" w:type="dxa"/>
              <w:right w:w="108" w:type="dxa"/>
            </w:tcMar>
            <w:vAlign w:val="center"/>
          </w:tcPr>
          <w:p w14:paraId="59E3040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47C1CF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284425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72576E5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0049595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7EF77D7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51F91E3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0D60C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0A8CE9C">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2C3A84EC">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300DDC62">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2.</w:t>
            </w:r>
            <w:bookmarkStart w:id="2" w:name="_Hlk66974104"/>
            <w:r>
              <w:rPr>
                <w:rFonts w:hint="eastAsia" w:ascii="仿宋_GB2312" w:hAnsi="黑体" w:eastAsia="仿宋_GB2312"/>
                <w:spacing w:val="-4"/>
                <w:kern w:val="0"/>
                <w:szCs w:val="21"/>
              </w:rPr>
              <w:t>其他法律行政法规禁止公开</w:t>
            </w:r>
            <w:bookmarkEnd w:id="2"/>
          </w:p>
        </w:tc>
        <w:tc>
          <w:tcPr>
            <w:tcW w:w="752" w:type="dxa"/>
            <w:shd w:val="clear" w:color="auto" w:fill="auto"/>
            <w:tcMar>
              <w:left w:w="108" w:type="dxa"/>
              <w:right w:w="108" w:type="dxa"/>
            </w:tcMar>
            <w:vAlign w:val="center"/>
          </w:tcPr>
          <w:p w14:paraId="52B9104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9AC3B4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5BC8479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2FB2827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5106381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6792F16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6FA257C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7A4E3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B540D31">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69B293DA">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05AA5237">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3.危及“三安全一稳定”</w:t>
            </w:r>
          </w:p>
        </w:tc>
        <w:tc>
          <w:tcPr>
            <w:tcW w:w="752" w:type="dxa"/>
            <w:shd w:val="clear" w:color="auto" w:fill="auto"/>
            <w:tcMar>
              <w:left w:w="108" w:type="dxa"/>
              <w:right w:w="108" w:type="dxa"/>
            </w:tcMar>
            <w:vAlign w:val="center"/>
          </w:tcPr>
          <w:p w14:paraId="2AD0DAC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C3C333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17D598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2A4251B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46A3CE3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6265113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2BED122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1C50F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292F4CF">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3D3AED35">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210C5066">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4.</w:t>
            </w:r>
            <w:bookmarkStart w:id="3" w:name="_Hlk66974290"/>
            <w:r>
              <w:rPr>
                <w:rFonts w:hint="eastAsia" w:ascii="仿宋_GB2312" w:hAnsi="黑体" w:eastAsia="仿宋_GB2312"/>
                <w:spacing w:val="-4"/>
                <w:kern w:val="0"/>
                <w:szCs w:val="21"/>
              </w:rPr>
              <w:t>保护第三方合法权益</w:t>
            </w:r>
            <w:bookmarkEnd w:id="3"/>
          </w:p>
        </w:tc>
        <w:tc>
          <w:tcPr>
            <w:tcW w:w="752" w:type="dxa"/>
            <w:shd w:val="clear" w:color="auto" w:fill="auto"/>
            <w:tcMar>
              <w:left w:w="108" w:type="dxa"/>
              <w:right w:w="108" w:type="dxa"/>
            </w:tcMar>
            <w:vAlign w:val="center"/>
          </w:tcPr>
          <w:p w14:paraId="17B5B59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CD7461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677D423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323D5D2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1745139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660DD3B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6DBCAA5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37EBC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526FC76">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2B65A0FA">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128B1D14">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5.属于三类内部事务信息</w:t>
            </w:r>
          </w:p>
        </w:tc>
        <w:tc>
          <w:tcPr>
            <w:tcW w:w="752" w:type="dxa"/>
            <w:shd w:val="clear" w:color="auto" w:fill="auto"/>
            <w:tcMar>
              <w:left w:w="108" w:type="dxa"/>
              <w:right w:w="108" w:type="dxa"/>
            </w:tcMar>
            <w:vAlign w:val="center"/>
          </w:tcPr>
          <w:p w14:paraId="6D291B3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9333EA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0000D6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26F45C5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ADD56C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063CA34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6D38FF5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47320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9BB16F3">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5BB68ADE">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29325C52">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6.</w:t>
            </w:r>
            <w:bookmarkStart w:id="4" w:name="_Hlk66974555"/>
            <w:r>
              <w:rPr>
                <w:rFonts w:hint="eastAsia" w:ascii="仿宋_GB2312" w:hAnsi="黑体" w:eastAsia="仿宋_GB2312"/>
                <w:spacing w:val="-4"/>
                <w:kern w:val="0"/>
                <w:szCs w:val="21"/>
              </w:rPr>
              <w:t>属于四类过程性信息</w:t>
            </w:r>
            <w:bookmarkEnd w:id="4"/>
          </w:p>
        </w:tc>
        <w:tc>
          <w:tcPr>
            <w:tcW w:w="752" w:type="dxa"/>
            <w:shd w:val="clear" w:color="auto" w:fill="auto"/>
            <w:tcMar>
              <w:left w:w="108" w:type="dxa"/>
              <w:right w:w="108" w:type="dxa"/>
            </w:tcMar>
            <w:vAlign w:val="center"/>
          </w:tcPr>
          <w:p w14:paraId="7512C22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AC4C94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1B8520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18A3C24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5562474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388238B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181E1D3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391A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26B7BEA">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4B653321">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4348B6AE">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7.属于行政执法案卷</w:t>
            </w:r>
          </w:p>
        </w:tc>
        <w:tc>
          <w:tcPr>
            <w:tcW w:w="752" w:type="dxa"/>
            <w:shd w:val="clear" w:color="auto" w:fill="auto"/>
            <w:tcMar>
              <w:left w:w="108" w:type="dxa"/>
              <w:right w:w="108" w:type="dxa"/>
            </w:tcMar>
            <w:vAlign w:val="center"/>
          </w:tcPr>
          <w:p w14:paraId="4F404FD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062988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1E6426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3E2008D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2684A3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52C1BF1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459323C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476AD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6F06352">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4BA10A4A">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750162B0">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8.</w:t>
            </w:r>
            <w:bookmarkStart w:id="5" w:name="_Hlk66975211"/>
            <w:r>
              <w:rPr>
                <w:rFonts w:hint="eastAsia" w:ascii="仿宋_GB2312" w:hAnsi="黑体" w:eastAsia="仿宋_GB2312"/>
                <w:spacing w:val="-4"/>
                <w:kern w:val="0"/>
                <w:szCs w:val="21"/>
              </w:rPr>
              <w:t>属于行政查询事项</w:t>
            </w:r>
            <w:bookmarkEnd w:id="5"/>
          </w:p>
        </w:tc>
        <w:tc>
          <w:tcPr>
            <w:tcW w:w="752" w:type="dxa"/>
            <w:shd w:val="clear" w:color="auto" w:fill="auto"/>
            <w:tcMar>
              <w:left w:w="108" w:type="dxa"/>
              <w:right w:w="108" w:type="dxa"/>
            </w:tcMar>
            <w:vAlign w:val="center"/>
          </w:tcPr>
          <w:p w14:paraId="7375275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7622AEC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715E8B9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5497666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6220E8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14EC0CE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42CF66F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22428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81C6E4F">
            <w:pPr>
              <w:spacing w:line="360" w:lineRule="exact"/>
              <w:rPr>
                <w:rFonts w:ascii="黑体" w:hAnsi="黑体" w:eastAsia="黑体"/>
                <w:spacing w:val="-4"/>
                <w:szCs w:val="21"/>
              </w:rPr>
            </w:pPr>
          </w:p>
        </w:tc>
        <w:tc>
          <w:tcPr>
            <w:tcW w:w="1699" w:type="dxa"/>
            <w:vMerge w:val="restart"/>
            <w:shd w:val="clear" w:color="auto" w:fill="auto"/>
            <w:tcMar>
              <w:left w:w="108" w:type="dxa"/>
              <w:right w:w="108" w:type="dxa"/>
            </w:tcMar>
            <w:vAlign w:val="center"/>
          </w:tcPr>
          <w:p w14:paraId="79B5896C">
            <w:pPr>
              <w:widowControl/>
              <w:spacing w:line="360" w:lineRule="exact"/>
              <w:ind w:left="-101" w:leftChars="-51"/>
              <w:rPr>
                <w:rFonts w:ascii="黑体" w:hAnsi="黑体" w:eastAsia="黑体"/>
                <w:spacing w:val="-4"/>
                <w:szCs w:val="21"/>
              </w:rPr>
            </w:pPr>
            <w:r>
              <w:rPr>
                <w:rFonts w:hint="eastAsia" w:ascii="黑体" w:hAnsi="黑体" w:eastAsia="黑体"/>
                <w:spacing w:val="-4"/>
                <w:kern w:val="0"/>
                <w:szCs w:val="21"/>
              </w:rPr>
              <w:t>（四）无法提供</w:t>
            </w:r>
          </w:p>
        </w:tc>
        <w:tc>
          <w:tcPr>
            <w:tcW w:w="2973" w:type="dxa"/>
            <w:shd w:val="clear" w:color="auto" w:fill="auto"/>
            <w:tcMar>
              <w:left w:w="108" w:type="dxa"/>
              <w:right w:w="108" w:type="dxa"/>
            </w:tcMar>
            <w:vAlign w:val="center"/>
          </w:tcPr>
          <w:p w14:paraId="7E9926CC">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1.本机关不掌握相关政府信息</w:t>
            </w:r>
          </w:p>
        </w:tc>
        <w:tc>
          <w:tcPr>
            <w:tcW w:w="752" w:type="dxa"/>
            <w:shd w:val="clear" w:color="auto" w:fill="auto"/>
            <w:tcMar>
              <w:left w:w="108" w:type="dxa"/>
              <w:right w:w="108" w:type="dxa"/>
            </w:tcMar>
            <w:vAlign w:val="center"/>
          </w:tcPr>
          <w:p w14:paraId="7E0A9B4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396A1A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7D13A00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38ADF82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2779FE3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458E942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59AC59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77AA2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4E37C8E">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0FFE81A5">
            <w:pPr>
              <w:spacing w:line="360" w:lineRule="exact"/>
              <w:ind w:left="-101" w:leftChars="-51"/>
              <w:rPr>
                <w:rFonts w:ascii="黑体" w:hAnsi="黑体" w:eastAsia="黑体"/>
                <w:spacing w:val="-4"/>
                <w:szCs w:val="21"/>
              </w:rPr>
            </w:pPr>
          </w:p>
        </w:tc>
        <w:tc>
          <w:tcPr>
            <w:tcW w:w="2973" w:type="dxa"/>
            <w:shd w:val="clear" w:color="auto" w:fill="auto"/>
            <w:tcMar>
              <w:left w:w="108" w:type="dxa"/>
              <w:right w:w="108" w:type="dxa"/>
            </w:tcMar>
            <w:vAlign w:val="center"/>
          </w:tcPr>
          <w:p w14:paraId="4CE5D87E">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2.</w:t>
            </w:r>
            <w:bookmarkStart w:id="6" w:name="_Hlk66975392"/>
            <w:r>
              <w:rPr>
                <w:rFonts w:hint="eastAsia" w:ascii="仿宋_GB2312" w:hAnsi="黑体" w:eastAsia="仿宋_GB2312"/>
                <w:spacing w:val="-4"/>
                <w:kern w:val="0"/>
                <w:szCs w:val="21"/>
              </w:rPr>
              <w:t>没有现成信息需要另行制作</w:t>
            </w:r>
            <w:bookmarkEnd w:id="6"/>
          </w:p>
        </w:tc>
        <w:tc>
          <w:tcPr>
            <w:tcW w:w="752" w:type="dxa"/>
            <w:shd w:val="clear" w:color="auto" w:fill="auto"/>
            <w:tcMar>
              <w:left w:w="108" w:type="dxa"/>
              <w:right w:w="108" w:type="dxa"/>
            </w:tcMar>
            <w:vAlign w:val="center"/>
          </w:tcPr>
          <w:p w14:paraId="7A6B8921">
            <w:pPr>
              <w:widowControl/>
              <w:spacing w:line="360" w:lineRule="exact"/>
              <w:jc w:val="center"/>
              <w:rPr>
                <w:rFonts w:ascii="仿宋_GB2312" w:eastAsia="仿宋_GB2312"/>
                <w:spacing w:val="-4"/>
                <w:szCs w:val="21"/>
              </w:rPr>
            </w:pPr>
            <w:r>
              <w:rPr>
                <w:rFonts w:hint="eastAsia" w:ascii="仿宋_GB2312" w:eastAsia="仿宋_GB2312"/>
                <w:spacing w:val="-4"/>
                <w:szCs w:val="21"/>
              </w:rPr>
              <w:t>1</w:t>
            </w:r>
          </w:p>
        </w:tc>
        <w:tc>
          <w:tcPr>
            <w:tcW w:w="540" w:type="dxa"/>
            <w:shd w:val="clear" w:color="auto" w:fill="auto"/>
            <w:tcMar>
              <w:left w:w="108" w:type="dxa"/>
              <w:right w:w="108" w:type="dxa"/>
            </w:tcMar>
            <w:vAlign w:val="center"/>
          </w:tcPr>
          <w:p w14:paraId="2FF1432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4C3BB3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4433C0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41522E0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3C70881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1EC373EA">
            <w:pPr>
              <w:widowControl/>
              <w:spacing w:line="360" w:lineRule="exact"/>
              <w:jc w:val="center"/>
              <w:rPr>
                <w:rFonts w:ascii="仿宋_GB2312" w:eastAsia="仿宋_GB2312"/>
                <w:spacing w:val="-4"/>
                <w:szCs w:val="21"/>
              </w:rPr>
            </w:pPr>
            <w:r>
              <w:rPr>
                <w:rFonts w:hint="eastAsia" w:ascii="仿宋_GB2312" w:eastAsia="仿宋_GB2312"/>
                <w:spacing w:val="-4"/>
                <w:szCs w:val="21"/>
              </w:rPr>
              <w:t>1</w:t>
            </w:r>
          </w:p>
        </w:tc>
      </w:tr>
      <w:tr w14:paraId="47B9E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6F779E0">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218D734F">
            <w:pPr>
              <w:spacing w:line="360" w:lineRule="exact"/>
              <w:ind w:left="-101" w:leftChars="-51"/>
              <w:rPr>
                <w:rFonts w:ascii="黑体" w:hAnsi="黑体" w:eastAsia="黑体"/>
                <w:spacing w:val="-4"/>
                <w:szCs w:val="21"/>
              </w:rPr>
            </w:pPr>
          </w:p>
        </w:tc>
        <w:tc>
          <w:tcPr>
            <w:tcW w:w="2973" w:type="dxa"/>
            <w:shd w:val="clear" w:color="auto" w:fill="auto"/>
            <w:tcMar>
              <w:left w:w="108" w:type="dxa"/>
              <w:right w:w="108" w:type="dxa"/>
            </w:tcMar>
            <w:vAlign w:val="center"/>
          </w:tcPr>
          <w:p w14:paraId="0B43E660">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3.</w:t>
            </w:r>
            <w:bookmarkStart w:id="7" w:name="_Hlk66975466"/>
            <w:r>
              <w:rPr>
                <w:rFonts w:hint="eastAsia" w:ascii="仿宋_GB2312" w:hAnsi="黑体" w:eastAsia="仿宋_GB2312"/>
                <w:spacing w:val="-4"/>
                <w:kern w:val="0"/>
                <w:szCs w:val="21"/>
              </w:rPr>
              <w:t>补正后申请内容仍不明确</w:t>
            </w:r>
            <w:bookmarkEnd w:id="7"/>
          </w:p>
        </w:tc>
        <w:tc>
          <w:tcPr>
            <w:tcW w:w="752" w:type="dxa"/>
            <w:shd w:val="clear" w:color="auto" w:fill="auto"/>
            <w:tcMar>
              <w:left w:w="108" w:type="dxa"/>
              <w:right w:w="108" w:type="dxa"/>
            </w:tcMar>
            <w:vAlign w:val="center"/>
          </w:tcPr>
          <w:p w14:paraId="1FF6DCB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47EF80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BD3790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568709F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FD6FBA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306E848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143646F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768AD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50367EE">
            <w:pPr>
              <w:spacing w:line="360" w:lineRule="exact"/>
              <w:rPr>
                <w:rFonts w:ascii="黑体" w:hAnsi="黑体" w:eastAsia="黑体"/>
                <w:spacing w:val="-4"/>
                <w:szCs w:val="21"/>
              </w:rPr>
            </w:pPr>
          </w:p>
        </w:tc>
        <w:tc>
          <w:tcPr>
            <w:tcW w:w="1699" w:type="dxa"/>
            <w:vMerge w:val="restart"/>
            <w:shd w:val="clear" w:color="auto" w:fill="auto"/>
            <w:tcMar>
              <w:left w:w="108" w:type="dxa"/>
              <w:right w:w="108" w:type="dxa"/>
            </w:tcMar>
            <w:vAlign w:val="center"/>
          </w:tcPr>
          <w:p w14:paraId="28175DDC">
            <w:pPr>
              <w:widowControl/>
              <w:spacing w:line="360" w:lineRule="exact"/>
              <w:ind w:left="-101" w:leftChars="-51"/>
              <w:rPr>
                <w:rFonts w:ascii="黑体" w:hAnsi="黑体" w:eastAsia="黑体"/>
                <w:spacing w:val="-4"/>
                <w:szCs w:val="21"/>
              </w:rPr>
            </w:pPr>
            <w:r>
              <w:rPr>
                <w:rFonts w:hint="eastAsia" w:ascii="黑体" w:hAnsi="黑体" w:eastAsia="黑体"/>
                <w:spacing w:val="-4"/>
                <w:kern w:val="0"/>
                <w:szCs w:val="21"/>
              </w:rPr>
              <w:t>（五）不予处理</w:t>
            </w:r>
          </w:p>
        </w:tc>
        <w:tc>
          <w:tcPr>
            <w:tcW w:w="2973" w:type="dxa"/>
            <w:shd w:val="clear" w:color="auto" w:fill="auto"/>
            <w:tcMar>
              <w:left w:w="108" w:type="dxa"/>
              <w:right w:w="108" w:type="dxa"/>
            </w:tcMar>
            <w:vAlign w:val="center"/>
          </w:tcPr>
          <w:p w14:paraId="56379903">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1.</w:t>
            </w:r>
            <w:bookmarkStart w:id="8" w:name="_Hlk66975537"/>
            <w:r>
              <w:rPr>
                <w:rFonts w:hint="eastAsia" w:ascii="仿宋_GB2312" w:hAnsi="黑体" w:eastAsia="仿宋_GB2312"/>
                <w:spacing w:val="-4"/>
                <w:kern w:val="0"/>
                <w:szCs w:val="21"/>
              </w:rPr>
              <w:t>信访举报投诉类申请</w:t>
            </w:r>
            <w:bookmarkEnd w:id="8"/>
          </w:p>
        </w:tc>
        <w:tc>
          <w:tcPr>
            <w:tcW w:w="752" w:type="dxa"/>
            <w:shd w:val="clear" w:color="auto" w:fill="auto"/>
            <w:tcMar>
              <w:left w:w="108" w:type="dxa"/>
              <w:right w:w="108" w:type="dxa"/>
            </w:tcMar>
            <w:vAlign w:val="center"/>
          </w:tcPr>
          <w:p w14:paraId="30DC529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5F0CD4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0D4EF63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011202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69B6660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6CECC22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24A4414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E2DB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37C2A3B">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29CACF77">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7EC9C797">
            <w:pPr>
              <w:widowControl/>
              <w:spacing w:line="360" w:lineRule="exact"/>
              <w:rPr>
                <w:rFonts w:ascii="仿宋_GB2312" w:hAnsi="黑体" w:eastAsia="仿宋_GB2312"/>
                <w:spacing w:val="-4"/>
                <w:kern w:val="0"/>
                <w:szCs w:val="21"/>
              </w:rPr>
            </w:pPr>
            <w:r>
              <w:rPr>
                <w:rFonts w:hint="eastAsia" w:ascii="仿宋_GB2312" w:hAnsi="黑体" w:eastAsia="仿宋_GB2312"/>
                <w:spacing w:val="-4"/>
                <w:kern w:val="0"/>
                <w:szCs w:val="21"/>
              </w:rPr>
              <w:t>2.重复申请</w:t>
            </w:r>
          </w:p>
        </w:tc>
        <w:tc>
          <w:tcPr>
            <w:tcW w:w="752" w:type="dxa"/>
            <w:shd w:val="clear" w:color="auto" w:fill="auto"/>
            <w:tcMar>
              <w:left w:w="108" w:type="dxa"/>
              <w:right w:w="108" w:type="dxa"/>
            </w:tcMar>
            <w:vAlign w:val="center"/>
          </w:tcPr>
          <w:p w14:paraId="4258DC9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E1AA9E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7F031A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449E21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331D40C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1B71449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4653E3B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4096B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7359ADC">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383BDE14">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12D2F5A6">
            <w:pPr>
              <w:widowControl/>
              <w:spacing w:line="360" w:lineRule="exact"/>
              <w:rPr>
                <w:rFonts w:ascii="仿宋_GB2312" w:hAnsi="黑体" w:eastAsia="仿宋_GB2312"/>
                <w:spacing w:val="-4"/>
                <w:szCs w:val="21"/>
              </w:rPr>
            </w:pPr>
            <w:r>
              <w:rPr>
                <w:rFonts w:hint="eastAsia" w:ascii="仿宋_GB2312" w:hAnsi="黑体" w:eastAsia="仿宋_GB2312"/>
                <w:spacing w:val="-4"/>
                <w:kern w:val="0"/>
                <w:szCs w:val="21"/>
              </w:rPr>
              <w:t>3.要求提供公开出版物</w:t>
            </w:r>
          </w:p>
        </w:tc>
        <w:tc>
          <w:tcPr>
            <w:tcW w:w="752" w:type="dxa"/>
            <w:shd w:val="clear" w:color="auto" w:fill="auto"/>
            <w:tcMar>
              <w:left w:w="108" w:type="dxa"/>
              <w:right w:w="108" w:type="dxa"/>
            </w:tcMar>
            <w:vAlign w:val="center"/>
          </w:tcPr>
          <w:p w14:paraId="2C62A26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C1423B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D82270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3B7A60D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6AB6D9F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257BE62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2FDF725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1835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3" w:hRule="exact"/>
          <w:jc w:val="center"/>
        </w:trPr>
        <w:tc>
          <w:tcPr>
            <w:tcW w:w="415" w:type="dxa"/>
            <w:vMerge w:val="continue"/>
            <w:shd w:val="clear" w:color="auto" w:fill="auto"/>
            <w:tcMar>
              <w:left w:w="108" w:type="dxa"/>
              <w:right w:w="108" w:type="dxa"/>
            </w:tcMar>
            <w:vAlign w:val="center"/>
          </w:tcPr>
          <w:p w14:paraId="55DD8753">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06BE693D">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75B04713">
            <w:pPr>
              <w:widowControl/>
              <w:spacing w:line="360" w:lineRule="exact"/>
              <w:rPr>
                <w:rFonts w:ascii="仿宋_GB2312" w:hAnsi="黑体" w:eastAsia="仿宋_GB2312"/>
                <w:spacing w:val="-4"/>
                <w:szCs w:val="21"/>
              </w:rPr>
            </w:pPr>
            <w:r>
              <w:rPr>
                <w:rFonts w:hint="eastAsia" w:ascii="仿宋_GB2312" w:hAnsi="黑体" w:eastAsia="仿宋_GB2312"/>
                <w:spacing w:val="-4"/>
                <w:kern w:val="0"/>
                <w:szCs w:val="21"/>
              </w:rPr>
              <w:t>4.无正当理由大量反复申请</w:t>
            </w:r>
          </w:p>
        </w:tc>
        <w:tc>
          <w:tcPr>
            <w:tcW w:w="752" w:type="dxa"/>
            <w:shd w:val="clear" w:color="auto" w:fill="auto"/>
            <w:tcMar>
              <w:left w:w="108" w:type="dxa"/>
              <w:right w:w="108" w:type="dxa"/>
            </w:tcMar>
            <w:vAlign w:val="center"/>
          </w:tcPr>
          <w:p w14:paraId="7D1ED00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9E8439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D85B23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6183325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5508C31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1D21C02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76F2120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51034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6F09D17">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1405D28A">
            <w:pPr>
              <w:spacing w:line="360" w:lineRule="exact"/>
              <w:rPr>
                <w:rFonts w:ascii="黑体" w:hAnsi="黑体" w:eastAsia="黑体"/>
                <w:spacing w:val="-4"/>
                <w:szCs w:val="21"/>
              </w:rPr>
            </w:pPr>
          </w:p>
        </w:tc>
        <w:tc>
          <w:tcPr>
            <w:tcW w:w="2973" w:type="dxa"/>
            <w:shd w:val="clear" w:color="auto" w:fill="auto"/>
            <w:tcMar>
              <w:left w:w="108" w:type="dxa"/>
              <w:right w:w="108" w:type="dxa"/>
            </w:tcMar>
            <w:vAlign w:val="center"/>
          </w:tcPr>
          <w:p w14:paraId="7A552299">
            <w:pPr>
              <w:widowControl/>
              <w:spacing w:line="360" w:lineRule="exact"/>
              <w:rPr>
                <w:rFonts w:ascii="仿宋_GB2312" w:hAnsi="黑体" w:eastAsia="仿宋_GB2312"/>
                <w:spacing w:val="-4"/>
                <w:szCs w:val="21"/>
              </w:rPr>
            </w:pPr>
            <w:r>
              <w:rPr>
                <w:rFonts w:hint="eastAsia" w:ascii="仿宋_GB2312" w:hAnsi="黑体" w:eastAsia="仿宋_GB2312"/>
                <w:spacing w:val="-4"/>
                <w:kern w:val="0"/>
                <w:szCs w:val="21"/>
              </w:rPr>
              <w:t>5.要求行政机关确认或重新出具已获取信息</w:t>
            </w:r>
          </w:p>
        </w:tc>
        <w:tc>
          <w:tcPr>
            <w:tcW w:w="752" w:type="dxa"/>
            <w:shd w:val="clear" w:color="auto" w:fill="auto"/>
            <w:tcMar>
              <w:left w:w="108" w:type="dxa"/>
              <w:right w:w="108" w:type="dxa"/>
            </w:tcMar>
            <w:vAlign w:val="center"/>
          </w:tcPr>
          <w:p w14:paraId="16176E1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376123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2A45DF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318607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5E8E45B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5DEDC33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3035BD7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A396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296B8102">
            <w:pPr>
              <w:spacing w:line="360" w:lineRule="exact"/>
              <w:rPr>
                <w:rFonts w:ascii="黑体" w:hAnsi="黑体" w:eastAsia="黑体"/>
                <w:spacing w:val="-4"/>
                <w:szCs w:val="21"/>
              </w:rPr>
            </w:pPr>
          </w:p>
        </w:tc>
        <w:tc>
          <w:tcPr>
            <w:tcW w:w="1699" w:type="dxa"/>
            <w:vMerge w:val="restart"/>
            <w:shd w:val="clear" w:color="auto" w:fill="auto"/>
            <w:tcMar>
              <w:left w:w="108" w:type="dxa"/>
              <w:right w:w="108" w:type="dxa"/>
            </w:tcMar>
            <w:vAlign w:val="center"/>
          </w:tcPr>
          <w:p w14:paraId="6C2A22CB">
            <w:pPr>
              <w:widowControl/>
              <w:spacing w:line="360" w:lineRule="exact"/>
              <w:rPr>
                <w:rFonts w:ascii="黑体" w:hAnsi="黑体" w:eastAsia="黑体"/>
                <w:spacing w:val="-4"/>
                <w:kern w:val="0"/>
                <w:szCs w:val="21"/>
              </w:rPr>
            </w:pPr>
            <w:r>
              <w:rPr>
                <w:rFonts w:hint="eastAsia" w:ascii="黑体" w:hAnsi="黑体" w:eastAsia="黑体"/>
                <w:spacing w:val="-4"/>
                <w:kern w:val="0"/>
                <w:szCs w:val="21"/>
              </w:rPr>
              <w:t>（六）其他处理</w:t>
            </w:r>
          </w:p>
        </w:tc>
        <w:tc>
          <w:tcPr>
            <w:tcW w:w="2973" w:type="dxa"/>
            <w:shd w:val="clear" w:color="auto" w:fill="auto"/>
            <w:vAlign w:val="center"/>
          </w:tcPr>
          <w:p w14:paraId="45E8E337">
            <w:pPr>
              <w:widowControl/>
              <w:spacing w:line="360" w:lineRule="exact"/>
              <w:rPr>
                <w:rFonts w:ascii="仿宋_GB2312" w:hAnsi="楷体" w:eastAsia="仿宋_GB2312"/>
                <w:spacing w:val="-4"/>
              </w:rPr>
            </w:pPr>
            <w:r>
              <w:rPr>
                <w:rFonts w:hint="eastAsia" w:ascii="仿宋_GB2312" w:hAnsi="楷体" w:eastAsia="仿宋_GB2312"/>
                <w:spacing w:val="-4"/>
              </w:rPr>
              <w:t>1.申请人无正当理由逾期不补正、行政机关不再处理其政府信息公开申请</w:t>
            </w:r>
          </w:p>
        </w:tc>
        <w:tc>
          <w:tcPr>
            <w:tcW w:w="752" w:type="dxa"/>
            <w:shd w:val="clear" w:color="auto" w:fill="auto"/>
            <w:tcMar>
              <w:left w:w="108" w:type="dxa"/>
              <w:right w:w="108" w:type="dxa"/>
            </w:tcMar>
            <w:vAlign w:val="center"/>
          </w:tcPr>
          <w:p w14:paraId="7E16F42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BB1771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3558964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18820A7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18BCF0D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2C9D5D5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38321CD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9C17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F7B67FE">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04B07F2E">
            <w:pPr>
              <w:widowControl/>
              <w:spacing w:line="360" w:lineRule="exact"/>
              <w:rPr>
                <w:rFonts w:ascii="黑体" w:hAnsi="黑体" w:eastAsia="黑体"/>
                <w:spacing w:val="-4"/>
                <w:kern w:val="0"/>
                <w:szCs w:val="21"/>
              </w:rPr>
            </w:pPr>
          </w:p>
        </w:tc>
        <w:tc>
          <w:tcPr>
            <w:tcW w:w="2973" w:type="dxa"/>
            <w:shd w:val="clear" w:color="auto" w:fill="auto"/>
            <w:vAlign w:val="center"/>
          </w:tcPr>
          <w:p w14:paraId="485A07D8">
            <w:pPr>
              <w:widowControl/>
              <w:spacing w:line="360" w:lineRule="exact"/>
              <w:rPr>
                <w:rFonts w:ascii="仿宋_GB2312" w:hAnsi="黑体" w:eastAsia="仿宋_GB2312"/>
                <w:spacing w:val="-4"/>
                <w:kern w:val="0"/>
                <w:szCs w:val="21"/>
              </w:rPr>
            </w:pPr>
            <w:r>
              <w:rPr>
                <w:rFonts w:hint="eastAsia" w:ascii="仿宋_GB2312" w:hAnsi="楷体" w:eastAsia="仿宋_GB2312"/>
                <w:spacing w:val="-4"/>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5384321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A69C45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D065AE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118F660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6932346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5B2980C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2EA4E8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1E1D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D460A2F">
            <w:pPr>
              <w:spacing w:line="360" w:lineRule="exact"/>
              <w:rPr>
                <w:rFonts w:ascii="黑体" w:hAnsi="黑体" w:eastAsia="黑体"/>
                <w:spacing w:val="-4"/>
                <w:szCs w:val="21"/>
              </w:rPr>
            </w:pPr>
          </w:p>
        </w:tc>
        <w:tc>
          <w:tcPr>
            <w:tcW w:w="1699" w:type="dxa"/>
            <w:vMerge w:val="continue"/>
            <w:shd w:val="clear" w:color="auto" w:fill="auto"/>
            <w:tcMar>
              <w:left w:w="108" w:type="dxa"/>
              <w:right w:w="108" w:type="dxa"/>
            </w:tcMar>
            <w:vAlign w:val="center"/>
          </w:tcPr>
          <w:p w14:paraId="6095D6E6">
            <w:pPr>
              <w:widowControl/>
              <w:spacing w:line="360" w:lineRule="exact"/>
              <w:rPr>
                <w:rFonts w:ascii="黑体" w:hAnsi="黑体" w:eastAsia="黑体"/>
                <w:spacing w:val="-4"/>
                <w:kern w:val="0"/>
                <w:szCs w:val="21"/>
              </w:rPr>
            </w:pPr>
          </w:p>
        </w:tc>
        <w:tc>
          <w:tcPr>
            <w:tcW w:w="2973" w:type="dxa"/>
            <w:shd w:val="clear" w:color="auto" w:fill="auto"/>
            <w:vAlign w:val="center"/>
          </w:tcPr>
          <w:p w14:paraId="033062E3">
            <w:pPr>
              <w:widowControl/>
              <w:spacing w:line="360" w:lineRule="exact"/>
              <w:rPr>
                <w:rFonts w:ascii="仿宋_GB2312" w:hAnsi="黑体" w:eastAsia="仿宋_GB2312"/>
                <w:spacing w:val="-4"/>
                <w:kern w:val="0"/>
                <w:szCs w:val="21"/>
              </w:rPr>
            </w:pPr>
            <w:r>
              <w:rPr>
                <w:rFonts w:hint="eastAsia" w:ascii="仿宋_GB2312" w:hAnsi="楷体" w:eastAsia="仿宋_GB2312"/>
                <w:spacing w:val="-4"/>
              </w:rPr>
              <w:t>3.其他</w:t>
            </w:r>
          </w:p>
        </w:tc>
        <w:tc>
          <w:tcPr>
            <w:tcW w:w="752" w:type="dxa"/>
            <w:shd w:val="clear" w:color="auto" w:fill="auto"/>
            <w:tcMar>
              <w:left w:w="108" w:type="dxa"/>
              <w:right w:w="108" w:type="dxa"/>
            </w:tcMar>
            <w:vAlign w:val="center"/>
          </w:tcPr>
          <w:p w14:paraId="08DAC43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4B89CBB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2D07541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2D1E49C1">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1460C04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408D860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41730D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r w14:paraId="650DA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C5CEC76">
            <w:pPr>
              <w:spacing w:line="360" w:lineRule="exact"/>
              <w:rPr>
                <w:rFonts w:ascii="黑体" w:hAnsi="黑体" w:eastAsia="黑体"/>
                <w:spacing w:val="-4"/>
                <w:szCs w:val="21"/>
              </w:rPr>
            </w:pPr>
          </w:p>
        </w:tc>
        <w:tc>
          <w:tcPr>
            <w:tcW w:w="4672" w:type="dxa"/>
            <w:gridSpan w:val="2"/>
            <w:shd w:val="clear" w:color="auto" w:fill="auto"/>
            <w:tcMar>
              <w:left w:w="108" w:type="dxa"/>
              <w:right w:w="108" w:type="dxa"/>
            </w:tcMar>
            <w:vAlign w:val="center"/>
          </w:tcPr>
          <w:p w14:paraId="6F25F1E4">
            <w:pPr>
              <w:widowControl/>
              <w:spacing w:line="360" w:lineRule="exact"/>
              <w:rPr>
                <w:rFonts w:ascii="黑体" w:hAnsi="黑体" w:eastAsia="黑体"/>
                <w:spacing w:val="-4"/>
                <w:kern w:val="0"/>
                <w:szCs w:val="21"/>
              </w:rPr>
            </w:pPr>
            <w:r>
              <w:rPr>
                <w:rFonts w:hint="eastAsia" w:ascii="黑体" w:hAnsi="黑体" w:eastAsia="黑体"/>
                <w:spacing w:val="-4"/>
                <w:kern w:val="0"/>
                <w:szCs w:val="21"/>
              </w:rPr>
              <w:t>（七）总计</w:t>
            </w:r>
          </w:p>
        </w:tc>
        <w:tc>
          <w:tcPr>
            <w:tcW w:w="752" w:type="dxa"/>
            <w:shd w:val="clear" w:color="auto" w:fill="auto"/>
            <w:tcMar>
              <w:left w:w="108" w:type="dxa"/>
              <w:right w:w="108" w:type="dxa"/>
            </w:tcMar>
            <w:vAlign w:val="center"/>
          </w:tcPr>
          <w:p w14:paraId="4CBA81B7">
            <w:pPr>
              <w:widowControl/>
              <w:spacing w:line="360" w:lineRule="exact"/>
              <w:jc w:val="center"/>
              <w:rPr>
                <w:rFonts w:ascii="仿宋_GB2312" w:eastAsia="仿宋_GB2312"/>
                <w:spacing w:val="-4"/>
                <w:szCs w:val="21"/>
              </w:rPr>
            </w:pPr>
            <w:r>
              <w:rPr>
                <w:rFonts w:ascii="仿宋_GB2312" w:eastAsia="仿宋_GB2312"/>
                <w:spacing w:val="-4"/>
                <w:szCs w:val="21"/>
              </w:rPr>
              <w:t>1</w:t>
            </w:r>
          </w:p>
        </w:tc>
        <w:tc>
          <w:tcPr>
            <w:tcW w:w="540" w:type="dxa"/>
            <w:shd w:val="clear" w:color="auto" w:fill="auto"/>
            <w:tcMar>
              <w:left w:w="108" w:type="dxa"/>
              <w:right w:w="108" w:type="dxa"/>
            </w:tcMar>
            <w:vAlign w:val="center"/>
          </w:tcPr>
          <w:p w14:paraId="58160E4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5CD9C45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1DA8211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038B5E9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77BC1C14">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0BB9AD4D">
            <w:pPr>
              <w:widowControl/>
              <w:spacing w:line="360" w:lineRule="exact"/>
              <w:jc w:val="center"/>
              <w:rPr>
                <w:rFonts w:ascii="仿宋_GB2312" w:eastAsia="仿宋_GB2312"/>
                <w:spacing w:val="-4"/>
                <w:szCs w:val="21"/>
              </w:rPr>
            </w:pPr>
            <w:r>
              <w:rPr>
                <w:rFonts w:ascii="仿宋_GB2312" w:eastAsia="仿宋_GB2312"/>
                <w:spacing w:val="-4"/>
                <w:szCs w:val="21"/>
              </w:rPr>
              <w:t>1</w:t>
            </w:r>
          </w:p>
        </w:tc>
      </w:tr>
      <w:tr w14:paraId="19D8F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657962D2">
            <w:pPr>
              <w:widowControl/>
              <w:spacing w:line="360" w:lineRule="exact"/>
              <w:rPr>
                <w:rFonts w:ascii="黑体" w:hAnsi="黑体" w:eastAsia="黑体"/>
                <w:spacing w:val="-4"/>
                <w:kern w:val="0"/>
                <w:szCs w:val="21"/>
              </w:rPr>
            </w:pPr>
            <w:r>
              <w:rPr>
                <w:rFonts w:hint="eastAsia" w:ascii="黑体" w:hAnsi="黑体" w:eastAsia="黑体"/>
                <w:spacing w:val="-4"/>
                <w:kern w:val="0"/>
                <w:szCs w:val="21"/>
              </w:rPr>
              <w:t>四、结转下年度继续办理</w:t>
            </w:r>
          </w:p>
        </w:tc>
        <w:tc>
          <w:tcPr>
            <w:tcW w:w="752" w:type="dxa"/>
            <w:shd w:val="clear" w:color="auto" w:fill="auto"/>
            <w:tcMar>
              <w:left w:w="108" w:type="dxa"/>
              <w:right w:w="108" w:type="dxa"/>
            </w:tcMar>
            <w:vAlign w:val="center"/>
          </w:tcPr>
          <w:p w14:paraId="3878BDB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56868ED0">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40" w:type="dxa"/>
            <w:shd w:val="clear" w:color="auto" w:fill="auto"/>
            <w:tcMar>
              <w:left w:w="108" w:type="dxa"/>
              <w:right w:w="108" w:type="dxa"/>
            </w:tcMar>
            <w:vAlign w:val="center"/>
          </w:tcPr>
          <w:p w14:paraId="1888861E">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20" w:type="dxa"/>
            <w:shd w:val="clear" w:color="auto" w:fill="auto"/>
            <w:tcMar>
              <w:left w:w="108" w:type="dxa"/>
              <w:right w:w="108" w:type="dxa"/>
            </w:tcMar>
            <w:vAlign w:val="center"/>
          </w:tcPr>
          <w:p w14:paraId="0F5F3033">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75" w:type="dxa"/>
            <w:shd w:val="clear" w:color="auto" w:fill="auto"/>
            <w:tcMar>
              <w:left w:w="108" w:type="dxa"/>
              <w:right w:w="108" w:type="dxa"/>
            </w:tcMar>
            <w:vAlign w:val="center"/>
          </w:tcPr>
          <w:p w14:paraId="2565512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26" w:type="dxa"/>
            <w:shd w:val="clear" w:color="auto" w:fill="auto"/>
            <w:tcMar>
              <w:left w:w="108" w:type="dxa"/>
              <w:right w:w="108" w:type="dxa"/>
            </w:tcMar>
            <w:vAlign w:val="center"/>
          </w:tcPr>
          <w:p w14:paraId="114432A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701" w:type="dxa"/>
            <w:shd w:val="clear" w:color="auto" w:fill="auto"/>
            <w:tcMar>
              <w:left w:w="108" w:type="dxa"/>
              <w:right w:w="108" w:type="dxa"/>
            </w:tcMar>
            <w:vAlign w:val="center"/>
          </w:tcPr>
          <w:p w14:paraId="1560349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bl>
    <w:p w14:paraId="05FDB422">
      <w:pPr>
        <w:spacing w:line="560" w:lineRule="exact"/>
        <w:ind w:firstLine="602" w:firstLineChars="200"/>
        <w:rPr>
          <w:rFonts w:ascii="仿宋_GB2312" w:eastAsia="仿宋_GB2312"/>
          <w:spacing w:val="-4"/>
          <w:sz w:val="32"/>
          <w:szCs w:val="32"/>
        </w:rPr>
      </w:pPr>
      <w:r>
        <w:rPr>
          <w:rFonts w:hint="eastAsia" w:ascii="黑体" w:hAnsi="黑体" w:eastAsia="黑体" w:cs="黑体"/>
          <w:bCs/>
          <w:spacing w:val="-4"/>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992CE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715A46">
            <w:pPr>
              <w:widowControl/>
              <w:spacing w:line="360" w:lineRule="exact"/>
              <w:ind w:firstLine="362" w:firstLineChars="200"/>
              <w:jc w:val="center"/>
              <w:rPr>
                <w:rFonts w:ascii="黑体" w:hAnsi="黑体" w:eastAsia="黑体"/>
                <w:spacing w:val="-4"/>
              </w:rPr>
            </w:pPr>
            <w:r>
              <w:rPr>
                <w:rFonts w:ascii="黑体" w:hAnsi="黑体" w:eastAsia="黑体"/>
                <w:spacing w:val="-4"/>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E37BC1">
            <w:pPr>
              <w:widowControl/>
              <w:spacing w:line="360" w:lineRule="exact"/>
              <w:ind w:firstLine="362" w:firstLineChars="200"/>
              <w:jc w:val="center"/>
              <w:rPr>
                <w:rFonts w:ascii="黑体" w:hAnsi="黑体" w:eastAsia="黑体"/>
                <w:spacing w:val="-4"/>
              </w:rPr>
            </w:pPr>
            <w:r>
              <w:rPr>
                <w:rFonts w:ascii="黑体" w:hAnsi="黑体" w:eastAsia="黑体"/>
                <w:spacing w:val="-4"/>
                <w:kern w:val="0"/>
                <w:sz w:val="20"/>
              </w:rPr>
              <w:t>行政诉讼</w:t>
            </w:r>
          </w:p>
        </w:tc>
      </w:tr>
      <w:tr w14:paraId="4D60FC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76BE68">
            <w:pPr>
              <w:widowControl/>
              <w:spacing w:line="360" w:lineRule="exact"/>
              <w:ind w:right="-161" w:rightChars="-81"/>
              <w:rPr>
                <w:rFonts w:ascii="黑体" w:hAnsi="黑体" w:eastAsia="黑体"/>
                <w:spacing w:val="-4"/>
                <w:kern w:val="0"/>
                <w:sz w:val="20"/>
              </w:rPr>
            </w:pPr>
            <w:r>
              <w:rPr>
                <w:rFonts w:ascii="黑体" w:hAnsi="黑体" w:eastAsia="黑体"/>
                <w:spacing w:val="-4"/>
                <w:kern w:val="0"/>
                <w:sz w:val="20"/>
              </w:rPr>
              <w:t>结果</w:t>
            </w:r>
          </w:p>
          <w:p w14:paraId="4AC8E6C6">
            <w:pPr>
              <w:widowControl/>
              <w:spacing w:line="360" w:lineRule="exact"/>
              <w:ind w:right="-161" w:rightChars="-81"/>
              <w:rPr>
                <w:rFonts w:ascii="黑体" w:hAnsi="黑体" w:eastAsia="黑体"/>
                <w:spacing w:val="-4"/>
              </w:rPr>
            </w:pPr>
            <w:r>
              <w:rPr>
                <w:rFonts w:ascii="黑体" w:hAnsi="黑体" w:eastAsia="黑体"/>
                <w:spacing w:val="-4"/>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A60978">
            <w:pPr>
              <w:widowControl/>
              <w:spacing w:line="360" w:lineRule="exact"/>
              <w:ind w:right="-125" w:rightChars="-63"/>
              <w:rPr>
                <w:rFonts w:ascii="黑体" w:hAnsi="黑体" w:eastAsia="黑体"/>
                <w:spacing w:val="-4"/>
                <w:kern w:val="0"/>
                <w:sz w:val="20"/>
              </w:rPr>
            </w:pPr>
            <w:r>
              <w:rPr>
                <w:rFonts w:ascii="黑体" w:hAnsi="黑体" w:eastAsia="黑体"/>
                <w:spacing w:val="-4"/>
                <w:kern w:val="0"/>
                <w:sz w:val="20"/>
              </w:rPr>
              <w:t>结果</w:t>
            </w:r>
          </w:p>
          <w:p w14:paraId="1A132849">
            <w:pPr>
              <w:widowControl/>
              <w:spacing w:line="360" w:lineRule="exact"/>
              <w:ind w:right="-125" w:rightChars="-63"/>
              <w:rPr>
                <w:rFonts w:ascii="黑体" w:hAnsi="黑体" w:eastAsia="黑体"/>
                <w:spacing w:val="-4"/>
              </w:rPr>
            </w:pPr>
            <w:r>
              <w:rPr>
                <w:rFonts w:ascii="黑体" w:hAnsi="黑体" w:eastAsia="黑体"/>
                <w:spacing w:val="-4"/>
                <w:kern w:val="0"/>
                <w:sz w:val="20"/>
              </w:rPr>
              <w:t>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A3DF7E">
            <w:pPr>
              <w:widowControl/>
              <w:spacing w:line="360" w:lineRule="exact"/>
              <w:ind w:right="-91" w:rightChars="-46"/>
              <w:rPr>
                <w:rFonts w:ascii="黑体" w:hAnsi="黑体" w:eastAsia="黑体"/>
                <w:spacing w:val="-4"/>
                <w:kern w:val="0"/>
                <w:sz w:val="20"/>
              </w:rPr>
            </w:pPr>
            <w:r>
              <w:rPr>
                <w:rFonts w:ascii="黑体" w:hAnsi="黑体" w:eastAsia="黑体"/>
                <w:spacing w:val="-4"/>
                <w:kern w:val="0"/>
                <w:sz w:val="20"/>
              </w:rPr>
              <w:t>其他</w:t>
            </w:r>
          </w:p>
          <w:p w14:paraId="0F8F5C16">
            <w:pPr>
              <w:widowControl/>
              <w:spacing w:line="360" w:lineRule="exact"/>
              <w:ind w:right="-91" w:rightChars="-46"/>
              <w:rPr>
                <w:rFonts w:ascii="黑体" w:hAnsi="黑体" w:eastAsia="黑体"/>
                <w:spacing w:val="-4"/>
              </w:rPr>
            </w:pPr>
            <w:r>
              <w:rPr>
                <w:rFonts w:ascii="黑体" w:hAnsi="黑体" w:eastAsia="黑体"/>
                <w:spacing w:val="-4"/>
                <w:kern w:val="0"/>
                <w:sz w:val="20"/>
              </w:rPr>
              <w:t>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78BA22">
            <w:pPr>
              <w:widowControl/>
              <w:spacing w:line="360" w:lineRule="exact"/>
              <w:ind w:right="-111" w:rightChars="-56"/>
              <w:rPr>
                <w:rFonts w:ascii="黑体" w:hAnsi="黑体" w:eastAsia="黑体"/>
                <w:spacing w:val="-4"/>
                <w:kern w:val="0"/>
                <w:sz w:val="20"/>
              </w:rPr>
            </w:pPr>
            <w:r>
              <w:rPr>
                <w:rFonts w:ascii="黑体" w:hAnsi="黑体" w:eastAsia="黑体"/>
                <w:spacing w:val="-4"/>
                <w:kern w:val="0"/>
                <w:sz w:val="20"/>
              </w:rPr>
              <w:t>尚未</w:t>
            </w:r>
          </w:p>
          <w:p w14:paraId="65E9202D">
            <w:pPr>
              <w:widowControl/>
              <w:spacing w:line="360" w:lineRule="exact"/>
              <w:ind w:right="-111" w:rightChars="-56"/>
              <w:rPr>
                <w:rFonts w:ascii="黑体" w:hAnsi="黑体" w:eastAsia="黑体"/>
                <w:spacing w:val="-4"/>
              </w:rPr>
            </w:pPr>
            <w:r>
              <w:rPr>
                <w:rFonts w:ascii="黑体" w:hAnsi="黑体" w:eastAsia="黑体"/>
                <w:spacing w:val="-4"/>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B001AE">
            <w:pPr>
              <w:widowControl/>
              <w:spacing w:line="360" w:lineRule="exact"/>
              <w:rPr>
                <w:rFonts w:ascii="黑体" w:hAnsi="黑体" w:eastAsia="黑体"/>
                <w:spacing w:val="-4"/>
              </w:rPr>
            </w:pPr>
            <w:r>
              <w:rPr>
                <w:rFonts w:ascii="黑体" w:hAnsi="黑体" w:eastAsia="黑体"/>
                <w:spacing w:val="-4"/>
                <w:kern w:val="0"/>
                <w:sz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3B40D0">
            <w:pPr>
              <w:widowControl/>
              <w:spacing w:line="360" w:lineRule="exact"/>
              <w:ind w:firstLine="362" w:firstLineChars="200"/>
              <w:jc w:val="center"/>
              <w:rPr>
                <w:rFonts w:ascii="黑体" w:hAnsi="黑体" w:eastAsia="黑体"/>
                <w:spacing w:val="-4"/>
              </w:rPr>
            </w:pPr>
            <w:r>
              <w:rPr>
                <w:rFonts w:ascii="黑体" w:hAnsi="黑体" w:eastAsia="黑体"/>
                <w:spacing w:val="-4"/>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9C066F">
            <w:pPr>
              <w:widowControl/>
              <w:spacing w:line="360" w:lineRule="exact"/>
              <w:ind w:firstLine="362" w:firstLineChars="200"/>
              <w:jc w:val="center"/>
              <w:rPr>
                <w:rFonts w:ascii="黑体" w:hAnsi="黑体" w:eastAsia="黑体"/>
                <w:spacing w:val="-4"/>
              </w:rPr>
            </w:pPr>
            <w:bookmarkStart w:id="9" w:name="_Hlk67039688"/>
            <w:r>
              <w:rPr>
                <w:rFonts w:ascii="黑体" w:hAnsi="黑体" w:eastAsia="黑体"/>
                <w:spacing w:val="-4"/>
                <w:kern w:val="0"/>
                <w:sz w:val="20"/>
              </w:rPr>
              <w:t>复议后起诉</w:t>
            </w:r>
            <w:bookmarkEnd w:id="9"/>
          </w:p>
        </w:tc>
      </w:tr>
      <w:tr w14:paraId="1ED19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FFC351">
            <w:pPr>
              <w:spacing w:line="360" w:lineRule="exact"/>
              <w:ind w:firstLine="442" w:firstLineChars="200"/>
              <w:jc w:val="center"/>
              <w:rPr>
                <w:rFonts w:ascii="黑体" w:hAnsi="黑体" w:eastAsia="黑体"/>
                <w:spacing w:val="-4"/>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084EDAF">
            <w:pPr>
              <w:spacing w:line="360" w:lineRule="exact"/>
              <w:ind w:firstLine="442" w:firstLineChars="200"/>
              <w:jc w:val="center"/>
              <w:rPr>
                <w:rFonts w:ascii="黑体" w:hAnsi="黑体" w:eastAsia="黑体"/>
                <w:spacing w:val="-4"/>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D28B3F">
            <w:pPr>
              <w:spacing w:line="360" w:lineRule="exact"/>
              <w:ind w:firstLine="442" w:firstLineChars="200"/>
              <w:jc w:val="center"/>
              <w:rPr>
                <w:rFonts w:ascii="黑体" w:hAnsi="黑体" w:eastAsia="黑体"/>
                <w:spacing w:val="-4"/>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CA7643">
            <w:pPr>
              <w:spacing w:line="360" w:lineRule="exact"/>
              <w:ind w:firstLine="442" w:firstLineChars="200"/>
              <w:jc w:val="center"/>
              <w:rPr>
                <w:rFonts w:ascii="黑体" w:hAnsi="黑体" w:eastAsia="黑体"/>
                <w:spacing w:val="-4"/>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8E90AC">
            <w:pPr>
              <w:spacing w:line="360" w:lineRule="exact"/>
              <w:ind w:firstLine="442" w:firstLineChars="200"/>
              <w:jc w:val="center"/>
              <w:rPr>
                <w:rFonts w:ascii="黑体" w:hAnsi="黑体" w:eastAsia="黑体"/>
                <w:spacing w:val="-4"/>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119A91B">
            <w:pPr>
              <w:widowControl/>
              <w:spacing w:line="360" w:lineRule="exact"/>
              <w:ind w:right="-119" w:rightChars="-60"/>
              <w:rPr>
                <w:rFonts w:ascii="黑体" w:hAnsi="黑体" w:eastAsia="黑体"/>
                <w:spacing w:val="-4"/>
                <w:kern w:val="0"/>
                <w:sz w:val="20"/>
              </w:rPr>
            </w:pPr>
            <w:r>
              <w:rPr>
                <w:rFonts w:ascii="黑体" w:hAnsi="黑体" w:eastAsia="黑体"/>
                <w:spacing w:val="-4"/>
                <w:kern w:val="0"/>
                <w:sz w:val="20"/>
              </w:rPr>
              <w:t>结果</w:t>
            </w:r>
          </w:p>
          <w:p w14:paraId="74F331CD">
            <w:pPr>
              <w:widowControl/>
              <w:spacing w:line="360" w:lineRule="exact"/>
              <w:ind w:right="-119" w:rightChars="-60"/>
              <w:rPr>
                <w:rFonts w:ascii="黑体" w:hAnsi="黑体" w:eastAsia="黑体"/>
                <w:spacing w:val="-4"/>
              </w:rPr>
            </w:pPr>
            <w:r>
              <w:rPr>
                <w:rFonts w:ascii="黑体" w:hAnsi="黑体" w:eastAsia="黑体"/>
                <w:spacing w:val="-4"/>
                <w:kern w:val="0"/>
                <w:sz w:val="20"/>
              </w:rPr>
              <w:t>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EC54F9">
            <w:pPr>
              <w:widowControl/>
              <w:spacing w:line="360" w:lineRule="exact"/>
              <w:ind w:right="-83" w:rightChars="-42"/>
              <w:rPr>
                <w:rFonts w:ascii="黑体" w:hAnsi="黑体" w:eastAsia="黑体"/>
                <w:spacing w:val="-4"/>
                <w:kern w:val="0"/>
                <w:sz w:val="20"/>
              </w:rPr>
            </w:pPr>
            <w:r>
              <w:rPr>
                <w:rFonts w:ascii="黑体" w:hAnsi="黑体" w:eastAsia="黑体"/>
                <w:spacing w:val="-4"/>
                <w:kern w:val="0"/>
                <w:sz w:val="20"/>
              </w:rPr>
              <w:t>结果</w:t>
            </w:r>
          </w:p>
          <w:p w14:paraId="60000146">
            <w:pPr>
              <w:widowControl/>
              <w:spacing w:line="360" w:lineRule="exact"/>
              <w:ind w:right="-83" w:rightChars="-42"/>
              <w:rPr>
                <w:rFonts w:ascii="黑体" w:hAnsi="黑体" w:eastAsia="黑体"/>
                <w:spacing w:val="-4"/>
              </w:rPr>
            </w:pPr>
            <w:r>
              <w:rPr>
                <w:rFonts w:ascii="黑体" w:hAnsi="黑体" w:eastAsia="黑体"/>
                <w:spacing w:val="-4"/>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63F262">
            <w:pPr>
              <w:widowControl/>
              <w:spacing w:line="360" w:lineRule="exact"/>
              <w:ind w:right="-129" w:rightChars="-65"/>
              <w:rPr>
                <w:rFonts w:ascii="黑体" w:hAnsi="黑体" w:eastAsia="黑体"/>
                <w:spacing w:val="-4"/>
                <w:kern w:val="0"/>
                <w:sz w:val="20"/>
              </w:rPr>
            </w:pPr>
            <w:r>
              <w:rPr>
                <w:rFonts w:ascii="黑体" w:hAnsi="黑体" w:eastAsia="黑体"/>
                <w:spacing w:val="-4"/>
                <w:kern w:val="0"/>
                <w:sz w:val="20"/>
              </w:rPr>
              <w:t>其他</w:t>
            </w:r>
          </w:p>
          <w:p w14:paraId="2E874BA1">
            <w:pPr>
              <w:widowControl/>
              <w:spacing w:line="360" w:lineRule="exact"/>
              <w:ind w:right="-129" w:rightChars="-65"/>
              <w:rPr>
                <w:rFonts w:ascii="黑体" w:hAnsi="黑体" w:eastAsia="黑体"/>
                <w:spacing w:val="-4"/>
              </w:rPr>
            </w:pPr>
            <w:r>
              <w:rPr>
                <w:rFonts w:ascii="黑体" w:hAnsi="黑体" w:eastAsia="黑体"/>
                <w:spacing w:val="-4"/>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E1EF69">
            <w:pPr>
              <w:widowControl/>
              <w:spacing w:line="360" w:lineRule="exact"/>
              <w:ind w:right="-145" w:rightChars="-73"/>
              <w:rPr>
                <w:rFonts w:ascii="黑体" w:hAnsi="黑体" w:eastAsia="黑体"/>
                <w:spacing w:val="-4"/>
                <w:kern w:val="0"/>
                <w:sz w:val="20"/>
              </w:rPr>
            </w:pPr>
            <w:r>
              <w:rPr>
                <w:rFonts w:ascii="黑体" w:hAnsi="黑体" w:eastAsia="黑体"/>
                <w:spacing w:val="-4"/>
                <w:kern w:val="0"/>
                <w:sz w:val="20"/>
              </w:rPr>
              <w:t>尚未</w:t>
            </w:r>
          </w:p>
          <w:p w14:paraId="638EBF35">
            <w:pPr>
              <w:widowControl/>
              <w:spacing w:line="360" w:lineRule="exact"/>
              <w:ind w:right="-145" w:rightChars="-73"/>
              <w:rPr>
                <w:rFonts w:ascii="黑体" w:hAnsi="黑体" w:eastAsia="黑体"/>
                <w:spacing w:val="-4"/>
              </w:rPr>
            </w:pPr>
            <w:r>
              <w:rPr>
                <w:rFonts w:ascii="黑体" w:hAnsi="黑体" w:eastAsia="黑体"/>
                <w:spacing w:val="-4"/>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66ED02">
            <w:pPr>
              <w:widowControl/>
              <w:spacing w:line="360" w:lineRule="exact"/>
              <w:rPr>
                <w:rFonts w:ascii="黑体" w:hAnsi="黑体" w:eastAsia="黑体"/>
                <w:spacing w:val="-4"/>
              </w:rPr>
            </w:pPr>
            <w:r>
              <w:rPr>
                <w:rFonts w:ascii="黑体" w:hAnsi="黑体" w:eastAsia="黑体"/>
                <w:spacing w:val="-4"/>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099E793">
            <w:pPr>
              <w:widowControl/>
              <w:spacing w:line="360" w:lineRule="exact"/>
              <w:ind w:right="-73" w:rightChars="-37"/>
              <w:rPr>
                <w:rFonts w:ascii="黑体" w:hAnsi="黑体" w:eastAsia="黑体"/>
                <w:spacing w:val="-4"/>
                <w:kern w:val="0"/>
                <w:sz w:val="20"/>
              </w:rPr>
            </w:pPr>
            <w:r>
              <w:rPr>
                <w:rFonts w:ascii="黑体" w:hAnsi="黑体" w:eastAsia="黑体"/>
                <w:spacing w:val="-4"/>
                <w:kern w:val="0"/>
                <w:sz w:val="20"/>
              </w:rPr>
              <w:t>结果</w:t>
            </w:r>
          </w:p>
          <w:p w14:paraId="59A7E12A">
            <w:pPr>
              <w:widowControl/>
              <w:spacing w:line="360" w:lineRule="exact"/>
              <w:ind w:right="-73" w:rightChars="-37"/>
              <w:rPr>
                <w:rFonts w:ascii="黑体" w:hAnsi="黑体" w:eastAsia="黑体"/>
                <w:spacing w:val="-4"/>
              </w:rPr>
            </w:pPr>
            <w:r>
              <w:rPr>
                <w:rFonts w:ascii="黑体" w:hAnsi="黑体" w:eastAsia="黑体"/>
                <w:spacing w:val="-4"/>
                <w:kern w:val="0"/>
                <w:sz w:val="20"/>
              </w:rPr>
              <w:t>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36E8DC">
            <w:pPr>
              <w:widowControl/>
              <w:spacing w:line="360" w:lineRule="exact"/>
              <w:ind w:right="-117" w:rightChars="-59"/>
              <w:rPr>
                <w:rFonts w:ascii="黑体" w:hAnsi="黑体" w:eastAsia="黑体"/>
                <w:spacing w:val="-4"/>
                <w:kern w:val="0"/>
                <w:sz w:val="20"/>
              </w:rPr>
            </w:pPr>
            <w:r>
              <w:rPr>
                <w:rFonts w:ascii="黑体" w:hAnsi="黑体" w:eastAsia="黑体"/>
                <w:spacing w:val="-4"/>
                <w:kern w:val="0"/>
                <w:sz w:val="20"/>
              </w:rPr>
              <w:t>结果</w:t>
            </w:r>
          </w:p>
          <w:p w14:paraId="3DDC2D48">
            <w:pPr>
              <w:widowControl/>
              <w:spacing w:line="360" w:lineRule="exact"/>
              <w:ind w:right="-117" w:rightChars="-59"/>
              <w:rPr>
                <w:rFonts w:ascii="黑体" w:hAnsi="黑体" w:eastAsia="黑体"/>
                <w:spacing w:val="-4"/>
              </w:rPr>
            </w:pPr>
            <w:r>
              <w:rPr>
                <w:rFonts w:ascii="黑体" w:hAnsi="黑体" w:eastAsia="黑体"/>
                <w:spacing w:val="-4"/>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512903">
            <w:pPr>
              <w:widowControl/>
              <w:spacing w:line="360" w:lineRule="exact"/>
              <w:ind w:right="-127" w:rightChars="-64"/>
              <w:rPr>
                <w:rFonts w:ascii="黑体" w:hAnsi="黑体" w:eastAsia="黑体"/>
                <w:spacing w:val="-4"/>
                <w:kern w:val="0"/>
                <w:sz w:val="20"/>
              </w:rPr>
            </w:pPr>
            <w:r>
              <w:rPr>
                <w:rFonts w:ascii="黑体" w:hAnsi="黑体" w:eastAsia="黑体"/>
                <w:spacing w:val="-4"/>
                <w:kern w:val="0"/>
                <w:sz w:val="20"/>
              </w:rPr>
              <w:t>其他</w:t>
            </w:r>
          </w:p>
          <w:p w14:paraId="4132762D">
            <w:pPr>
              <w:widowControl/>
              <w:spacing w:line="360" w:lineRule="exact"/>
              <w:ind w:right="-127" w:rightChars="-64"/>
              <w:rPr>
                <w:rFonts w:ascii="黑体" w:hAnsi="黑体" w:eastAsia="黑体"/>
                <w:spacing w:val="-4"/>
              </w:rPr>
            </w:pPr>
            <w:r>
              <w:rPr>
                <w:rFonts w:ascii="黑体" w:hAnsi="黑体" w:eastAsia="黑体"/>
                <w:spacing w:val="-4"/>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075E5E">
            <w:pPr>
              <w:widowControl/>
              <w:spacing w:line="360" w:lineRule="exact"/>
              <w:ind w:right="-99" w:rightChars="-50"/>
              <w:rPr>
                <w:rFonts w:ascii="黑体" w:hAnsi="黑体" w:eastAsia="黑体"/>
                <w:spacing w:val="-4"/>
                <w:kern w:val="0"/>
                <w:sz w:val="20"/>
              </w:rPr>
            </w:pPr>
            <w:r>
              <w:rPr>
                <w:rFonts w:ascii="黑体" w:hAnsi="黑体" w:eastAsia="黑体"/>
                <w:spacing w:val="-4"/>
                <w:kern w:val="0"/>
                <w:sz w:val="20"/>
              </w:rPr>
              <w:t>尚未</w:t>
            </w:r>
          </w:p>
          <w:p w14:paraId="37F6326B">
            <w:pPr>
              <w:widowControl/>
              <w:spacing w:line="360" w:lineRule="exact"/>
              <w:ind w:right="-99" w:rightChars="-50"/>
              <w:rPr>
                <w:rFonts w:ascii="黑体" w:hAnsi="黑体" w:eastAsia="黑体"/>
                <w:spacing w:val="-4"/>
              </w:rPr>
            </w:pPr>
            <w:r>
              <w:rPr>
                <w:rFonts w:ascii="黑体" w:hAnsi="黑体" w:eastAsia="黑体"/>
                <w:spacing w:val="-4"/>
                <w:kern w:val="0"/>
                <w:sz w:val="20"/>
              </w:rPr>
              <w:t>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9805C6">
            <w:pPr>
              <w:widowControl/>
              <w:spacing w:line="360" w:lineRule="exact"/>
              <w:rPr>
                <w:rFonts w:ascii="黑体" w:hAnsi="黑体" w:eastAsia="黑体"/>
                <w:spacing w:val="-4"/>
              </w:rPr>
            </w:pPr>
            <w:r>
              <w:rPr>
                <w:rFonts w:ascii="黑体" w:hAnsi="黑体" w:eastAsia="黑体"/>
                <w:spacing w:val="-4"/>
                <w:kern w:val="0"/>
                <w:sz w:val="20"/>
              </w:rPr>
              <w:t>总计</w:t>
            </w:r>
          </w:p>
        </w:tc>
      </w:tr>
      <w:tr w14:paraId="05D237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87D3F5">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C26932A">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FA5816B">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FE91A98">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DEB025D">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D1DD18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CAF14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E2C4F92">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77B10F">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81FD13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13004B9">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FE7368C">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96068B6">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3B8B46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DA9CEF7">
            <w:pPr>
              <w:widowControl/>
              <w:spacing w:line="360" w:lineRule="exact"/>
              <w:jc w:val="center"/>
              <w:rPr>
                <w:rFonts w:ascii="仿宋_GB2312" w:eastAsia="仿宋_GB2312"/>
                <w:spacing w:val="-4"/>
                <w:szCs w:val="21"/>
              </w:rPr>
            </w:pPr>
            <w:r>
              <w:rPr>
                <w:rFonts w:hint="eastAsia" w:ascii="仿宋_GB2312" w:eastAsia="仿宋_GB2312"/>
                <w:spacing w:val="-4"/>
                <w:szCs w:val="21"/>
              </w:rPr>
              <w:t>0</w:t>
            </w:r>
          </w:p>
        </w:tc>
      </w:tr>
    </w:tbl>
    <w:p w14:paraId="1351473F">
      <w:pPr>
        <w:pStyle w:val="8"/>
        <w:shd w:val="clear" w:color="auto" w:fill="FFFFFF"/>
        <w:spacing w:before="0" w:beforeAutospacing="0" w:after="0" w:afterAutospacing="0" w:line="560" w:lineRule="exact"/>
        <w:ind w:firstLine="602" w:firstLineChars="200"/>
        <w:jc w:val="both"/>
        <w:rPr>
          <w:rFonts w:ascii="黑体" w:hAnsi="黑体" w:eastAsia="黑体" w:cs="黑体"/>
          <w:bCs/>
          <w:spacing w:val="-4"/>
          <w:sz w:val="32"/>
          <w:szCs w:val="32"/>
          <w:shd w:val="clear" w:color="auto" w:fill="FFFFFF"/>
          <w:lang w:bidi="ar"/>
        </w:rPr>
      </w:pPr>
      <w:r>
        <w:rPr>
          <w:rFonts w:hint="eastAsia" w:ascii="黑体" w:hAnsi="黑体" w:eastAsia="黑体" w:cs="黑体"/>
          <w:bCs/>
          <w:spacing w:val="-4"/>
          <w:sz w:val="32"/>
          <w:szCs w:val="32"/>
          <w:shd w:val="clear" w:color="auto" w:fill="FFFFFF"/>
          <w:lang w:bidi="ar"/>
        </w:rPr>
        <w:t>五、存在的主要问题及改进情况</w:t>
      </w:r>
    </w:p>
    <w:p w14:paraId="11194980">
      <w:pPr>
        <w:pStyle w:val="8"/>
        <w:shd w:val="clear" w:color="auto" w:fill="FFFFFF"/>
        <w:spacing w:before="0" w:beforeAutospacing="0" w:after="0" w:afterAutospacing="0" w:line="560" w:lineRule="exact"/>
        <w:ind w:firstLine="602" w:firstLineChars="200"/>
        <w:jc w:val="both"/>
        <w:rPr>
          <w:rFonts w:ascii="仿宋_GB2312" w:eastAsia="仿宋_GB2312" w:cs="仿宋_GB2312"/>
          <w:color w:val="000000"/>
          <w:sz w:val="32"/>
          <w:szCs w:val="32"/>
          <w:shd w:val="clear" w:color="auto" w:fill="FFFFFF"/>
        </w:rPr>
      </w:pPr>
      <w:r>
        <w:rPr>
          <w:rFonts w:hint="eastAsia" w:ascii="仿宋_GB2312" w:hAnsi="仿宋_GB2312" w:eastAsia="仿宋_GB2312" w:cs="仿宋_GB2312"/>
          <w:spacing w:val="-4"/>
          <w:sz w:val="32"/>
          <w:szCs w:val="32"/>
          <w:shd w:val="clear" w:color="auto" w:fill="FFFFFF"/>
        </w:rPr>
        <w:t>一是</w:t>
      </w:r>
      <w:r>
        <w:rPr>
          <w:rFonts w:ascii="仿宋_GB2312" w:hAnsi="仿宋_GB2312" w:eastAsia="仿宋_GB2312" w:cs="仿宋_GB2312"/>
          <w:spacing w:val="-4"/>
          <w:sz w:val="32"/>
          <w:szCs w:val="32"/>
          <w:shd w:val="clear" w:color="auto" w:fill="FFFFFF"/>
        </w:rPr>
        <w:t>信息互动性不足</w:t>
      </w:r>
      <w:r>
        <w:rPr>
          <w:rFonts w:hint="eastAsia" w:ascii="仿宋_GB2312" w:hAnsi="仿宋_GB2312" w:eastAsia="仿宋_GB2312" w:cs="仿宋_GB2312"/>
          <w:spacing w:val="-4"/>
          <w:sz w:val="32"/>
          <w:szCs w:val="32"/>
          <w:shd w:val="clear" w:color="auto" w:fill="FFFFFF"/>
        </w:rPr>
        <w:t>，</w:t>
      </w:r>
      <w:r>
        <w:rPr>
          <w:rFonts w:ascii="仿宋_GB2312" w:hAnsi="仿宋_GB2312" w:eastAsia="仿宋_GB2312" w:cs="仿宋_GB2312"/>
          <w:spacing w:val="-4"/>
          <w:sz w:val="32"/>
          <w:szCs w:val="32"/>
          <w:shd w:val="clear" w:color="auto" w:fill="FFFFFF"/>
        </w:rPr>
        <w:t>只是单向发布信息，不注重与</w:t>
      </w:r>
      <w:r>
        <w:rPr>
          <w:rFonts w:hint="eastAsia" w:ascii="仿宋_GB2312" w:hAnsi="仿宋_GB2312" w:eastAsia="仿宋_GB2312" w:cs="仿宋_GB2312"/>
          <w:spacing w:val="-4"/>
          <w:sz w:val="32"/>
          <w:szCs w:val="32"/>
          <w:shd w:val="clear" w:color="auto" w:fill="FFFFFF"/>
        </w:rPr>
        <w:t>群众</w:t>
      </w:r>
      <w:r>
        <w:rPr>
          <w:rFonts w:ascii="仿宋_GB2312" w:hAnsi="仿宋_GB2312" w:eastAsia="仿宋_GB2312" w:cs="仿宋_GB2312"/>
          <w:spacing w:val="-4"/>
          <w:sz w:val="32"/>
          <w:szCs w:val="32"/>
          <w:shd w:val="clear" w:color="auto" w:fill="FFFFFF"/>
        </w:rPr>
        <w:t>的互动交流</w:t>
      </w:r>
      <w:r>
        <w:rPr>
          <w:rFonts w:hint="eastAsia" w:ascii="仿宋_GB2312" w:hAnsi="仿宋_GB2312" w:eastAsia="仿宋_GB2312" w:cs="仿宋_GB2312"/>
          <w:spacing w:val="-4"/>
          <w:sz w:val="32"/>
          <w:szCs w:val="32"/>
          <w:shd w:val="clear" w:color="auto" w:fill="FFFFFF"/>
        </w:rPr>
        <w:t>。二是</w:t>
      </w:r>
      <w:r>
        <w:rPr>
          <w:rFonts w:ascii="仿宋_GB2312" w:hAnsi="仿宋_GB2312" w:eastAsia="仿宋_GB2312" w:cs="仿宋_GB2312"/>
          <w:spacing w:val="-4"/>
          <w:sz w:val="32"/>
          <w:szCs w:val="32"/>
          <w:shd w:val="clear" w:color="auto" w:fill="FFFFFF"/>
        </w:rPr>
        <w:t>信息发布不充分</w:t>
      </w:r>
      <w:r>
        <w:rPr>
          <w:rFonts w:hint="eastAsia" w:ascii="仿宋_GB2312" w:hAnsi="仿宋_GB2312" w:eastAsia="仿宋_GB2312" w:cs="仿宋_GB2312"/>
          <w:spacing w:val="-4"/>
          <w:sz w:val="32"/>
          <w:szCs w:val="32"/>
          <w:shd w:val="clear" w:color="auto" w:fill="FFFFFF"/>
        </w:rPr>
        <w:t>，部分信息</w:t>
      </w:r>
      <w:r>
        <w:rPr>
          <w:rFonts w:ascii="仿宋_GB2312" w:hAnsi="仿宋_GB2312" w:eastAsia="仿宋_GB2312" w:cs="仿宋_GB2312"/>
          <w:spacing w:val="-4"/>
          <w:sz w:val="32"/>
          <w:szCs w:val="32"/>
          <w:shd w:val="clear" w:color="auto" w:fill="FFFFFF"/>
        </w:rPr>
        <w:t>发布的不够全面、详细，导致</w:t>
      </w:r>
      <w:r>
        <w:rPr>
          <w:rFonts w:hint="eastAsia" w:ascii="仿宋_GB2312" w:hAnsi="仿宋_GB2312" w:eastAsia="仿宋_GB2312" w:cs="仿宋_GB2312"/>
          <w:spacing w:val="-4"/>
          <w:sz w:val="32"/>
          <w:szCs w:val="32"/>
          <w:shd w:val="clear" w:color="auto" w:fill="FFFFFF"/>
        </w:rPr>
        <w:t>群众</w:t>
      </w:r>
      <w:r>
        <w:rPr>
          <w:rFonts w:ascii="仿宋_GB2312" w:hAnsi="仿宋_GB2312" w:eastAsia="仿宋_GB2312" w:cs="仿宋_GB2312"/>
          <w:spacing w:val="-4"/>
          <w:sz w:val="32"/>
          <w:szCs w:val="32"/>
          <w:shd w:val="clear" w:color="auto" w:fill="FFFFFF"/>
        </w:rPr>
        <w:t>无法全面了解</w:t>
      </w:r>
      <w:r>
        <w:rPr>
          <w:rFonts w:hint="eastAsia" w:ascii="仿宋_GB2312" w:hAnsi="仿宋_GB2312" w:eastAsia="仿宋_GB2312" w:cs="仿宋_GB2312"/>
          <w:spacing w:val="-4"/>
          <w:sz w:val="32"/>
          <w:szCs w:val="32"/>
          <w:shd w:val="clear" w:color="auto" w:fill="FFFFFF"/>
        </w:rPr>
        <w:t>我局</w:t>
      </w:r>
      <w:r>
        <w:rPr>
          <w:rFonts w:ascii="仿宋_GB2312" w:hAnsi="仿宋_GB2312" w:eastAsia="仿宋_GB2312" w:cs="仿宋_GB2312"/>
          <w:spacing w:val="-4"/>
          <w:sz w:val="32"/>
          <w:szCs w:val="32"/>
          <w:shd w:val="clear" w:color="auto" w:fill="FFFFFF"/>
        </w:rPr>
        <w:t>的工作情况</w:t>
      </w:r>
      <w:r>
        <w:rPr>
          <w:rFonts w:hint="eastAsia" w:ascii="仿宋_GB2312" w:hAnsi="仿宋_GB2312" w:eastAsia="仿宋_GB2312" w:cs="仿宋_GB2312"/>
          <w:spacing w:val="-4"/>
          <w:sz w:val="32"/>
          <w:szCs w:val="32"/>
          <w:shd w:val="clear" w:color="auto" w:fill="FFFFFF"/>
        </w:rPr>
        <w:t>。三是</w:t>
      </w:r>
      <w:r>
        <w:rPr>
          <w:rFonts w:ascii="仿宋_GB2312" w:eastAsia="仿宋_GB2312" w:cs="仿宋_GB2312"/>
          <w:color w:val="000000"/>
          <w:sz w:val="32"/>
          <w:szCs w:val="32"/>
          <w:shd w:val="clear" w:color="auto" w:fill="FFFFFF"/>
        </w:rPr>
        <w:t>依申请公开意识有所欠缺，对依申请公开的重视程度不足，处理不够规范。</w:t>
      </w:r>
    </w:p>
    <w:p w14:paraId="003573F2">
      <w:pPr>
        <w:pStyle w:val="8"/>
        <w:shd w:val="clear" w:color="auto" w:fill="FFFFFF"/>
        <w:spacing w:before="0" w:beforeAutospacing="0" w:after="0" w:afterAutospacing="0" w:line="560" w:lineRule="exact"/>
        <w:ind w:firstLine="618" w:firstLineChars="200"/>
        <w:jc w:val="both"/>
        <w:rPr>
          <w:rFonts w:ascii="仿宋_GB2312" w:hAnsi="仿宋_GB2312" w:eastAsia="仿宋_GB2312" w:cs="仿宋_GB2312"/>
          <w:spacing w:val="-4"/>
          <w:sz w:val="32"/>
          <w:szCs w:val="32"/>
          <w:shd w:val="clear" w:color="auto" w:fill="FFFFFF"/>
        </w:rPr>
      </w:pPr>
      <w:r>
        <w:rPr>
          <w:rFonts w:hint="eastAsia" w:ascii="仿宋_GB2312" w:eastAsia="仿宋_GB2312" w:cs="仿宋_GB2312"/>
          <w:color w:val="000000"/>
          <w:sz w:val="32"/>
          <w:szCs w:val="32"/>
          <w:shd w:val="clear" w:color="auto" w:fill="FFFFFF"/>
        </w:rPr>
        <w:t>下一步，一是</w:t>
      </w:r>
      <w:r>
        <w:rPr>
          <w:rFonts w:ascii="仿宋_GB2312" w:hAnsi="仿宋_GB2312" w:eastAsia="仿宋_GB2312" w:cs="仿宋_GB2312"/>
          <w:spacing w:val="-4"/>
          <w:sz w:val="32"/>
          <w:szCs w:val="32"/>
          <w:shd w:val="clear" w:color="auto" w:fill="FFFFFF"/>
        </w:rPr>
        <w:t>增强信息互动性</w:t>
      </w:r>
      <w:r>
        <w:rPr>
          <w:rFonts w:hint="eastAsia" w:ascii="仿宋_GB2312" w:hAnsi="仿宋_GB2312" w:eastAsia="仿宋_GB2312" w:cs="仿宋_GB2312"/>
          <w:spacing w:val="-4"/>
          <w:sz w:val="32"/>
          <w:szCs w:val="32"/>
          <w:shd w:val="clear" w:color="auto" w:fill="FFFFFF"/>
        </w:rPr>
        <w:t>，</w:t>
      </w:r>
      <w:r>
        <w:rPr>
          <w:rFonts w:ascii="仿宋_GB2312" w:hAnsi="仿宋_GB2312" w:eastAsia="仿宋_GB2312" w:cs="仿宋_GB2312"/>
          <w:spacing w:val="-4"/>
          <w:sz w:val="32"/>
          <w:szCs w:val="32"/>
          <w:shd w:val="clear" w:color="auto" w:fill="FFFFFF"/>
        </w:rPr>
        <w:t>建立健全在线互动平台，如</w:t>
      </w:r>
      <w:r>
        <w:rPr>
          <w:rFonts w:hint="eastAsia" w:ascii="仿宋_GB2312" w:hAnsi="仿宋_GB2312" w:eastAsia="仿宋_GB2312" w:cs="仿宋_GB2312"/>
          <w:spacing w:val="-4"/>
          <w:sz w:val="32"/>
          <w:szCs w:val="32"/>
          <w:shd w:val="clear" w:color="auto" w:fill="FFFFFF"/>
        </w:rPr>
        <w:t>公众号私信</w:t>
      </w:r>
      <w:r>
        <w:rPr>
          <w:rFonts w:ascii="仿宋_GB2312" w:hAnsi="仿宋_GB2312" w:eastAsia="仿宋_GB2312" w:cs="仿宋_GB2312"/>
          <w:spacing w:val="-4"/>
          <w:sz w:val="32"/>
          <w:szCs w:val="32"/>
          <w:shd w:val="clear" w:color="auto" w:fill="FFFFFF"/>
        </w:rPr>
        <w:t>等栏目，鼓励公众参与讨论，及时反馈群众关切的问题。</w:t>
      </w:r>
      <w:r>
        <w:rPr>
          <w:rFonts w:hint="eastAsia" w:ascii="仿宋_GB2312" w:hAnsi="仿宋_GB2312" w:eastAsia="仿宋_GB2312" w:cs="仿宋_GB2312"/>
          <w:spacing w:val="-4"/>
          <w:sz w:val="32"/>
          <w:szCs w:val="32"/>
          <w:shd w:val="clear" w:color="auto" w:fill="FFFFFF"/>
        </w:rPr>
        <w:t>二是</w:t>
      </w:r>
      <w:r>
        <w:rPr>
          <w:rFonts w:ascii="仿宋_GB2312" w:hAnsi="仿宋_GB2312" w:eastAsia="仿宋_GB2312" w:cs="仿宋_GB2312"/>
          <w:spacing w:val="-4"/>
          <w:sz w:val="32"/>
          <w:szCs w:val="32"/>
          <w:shd w:val="clear" w:color="auto" w:fill="FFFFFF"/>
        </w:rPr>
        <w:t>提升信息发布全面性</w:t>
      </w:r>
      <w:r>
        <w:rPr>
          <w:rFonts w:hint="eastAsia" w:ascii="仿宋_GB2312" w:hAnsi="仿宋_GB2312" w:eastAsia="仿宋_GB2312" w:cs="仿宋_GB2312"/>
          <w:spacing w:val="-4"/>
          <w:sz w:val="32"/>
          <w:szCs w:val="32"/>
          <w:shd w:val="clear" w:color="auto" w:fill="FFFFFF"/>
        </w:rPr>
        <w:t>，</w:t>
      </w:r>
      <w:r>
        <w:rPr>
          <w:rFonts w:ascii="仿宋_GB2312" w:hAnsi="仿宋_GB2312" w:eastAsia="仿宋_GB2312" w:cs="仿宋_GB2312"/>
          <w:spacing w:val="-4"/>
          <w:sz w:val="32"/>
          <w:szCs w:val="32"/>
          <w:shd w:val="clear" w:color="auto" w:fill="FFFFFF"/>
        </w:rPr>
        <w:t>确保所有重要政策、</w:t>
      </w:r>
      <w:r>
        <w:rPr>
          <w:rFonts w:hint="eastAsia" w:ascii="仿宋_GB2312" w:hAnsi="仿宋_GB2312" w:eastAsia="仿宋_GB2312" w:cs="仿宋_GB2312"/>
          <w:spacing w:val="-4"/>
          <w:sz w:val="32"/>
          <w:szCs w:val="32"/>
          <w:shd w:val="clear" w:color="auto" w:fill="FFFFFF"/>
        </w:rPr>
        <w:t>审批结果</w:t>
      </w:r>
      <w:r>
        <w:rPr>
          <w:rFonts w:ascii="仿宋_GB2312" w:hAnsi="仿宋_GB2312" w:eastAsia="仿宋_GB2312" w:cs="仿宋_GB2312"/>
          <w:spacing w:val="-4"/>
          <w:sz w:val="32"/>
          <w:szCs w:val="32"/>
          <w:shd w:val="clear" w:color="auto" w:fill="FFFFFF"/>
        </w:rPr>
        <w:t>等信息均得到</w:t>
      </w:r>
      <w:r>
        <w:rPr>
          <w:rFonts w:hint="eastAsia" w:ascii="仿宋_GB2312" w:hAnsi="仿宋_GB2312" w:eastAsia="仿宋_GB2312" w:cs="仿宋_GB2312"/>
          <w:spacing w:val="-4"/>
          <w:sz w:val="32"/>
          <w:szCs w:val="32"/>
          <w:shd w:val="clear" w:color="auto" w:fill="FFFFFF"/>
        </w:rPr>
        <w:t>公开</w:t>
      </w:r>
      <w:r>
        <w:rPr>
          <w:rFonts w:ascii="仿宋_GB2312" w:hAnsi="仿宋_GB2312" w:eastAsia="仿宋_GB2312" w:cs="仿宋_GB2312"/>
          <w:spacing w:val="-4"/>
          <w:sz w:val="32"/>
          <w:szCs w:val="32"/>
          <w:shd w:val="clear" w:color="auto" w:fill="FFFFFF"/>
        </w:rPr>
        <w:t>。</w:t>
      </w:r>
      <w:r>
        <w:rPr>
          <w:rFonts w:hint="eastAsia" w:ascii="仿宋_GB2312" w:hAnsi="仿宋_GB2312" w:eastAsia="仿宋_GB2312" w:cs="仿宋_GB2312"/>
          <w:spacing w:val="-4"/>
          <w:sz w:val="32"/>
          <w:szCs w:val="32"/>
          <w:shd w:val="clear" w:color="auto" w:fill="FFFFFF"/>
        </w:rPr>
        <w:t>三是提高公开意识，</w:t>
      </w:r>
      <w:r>
        <w:rPr>
          <w:rFonts w:ascii="仿宋_GB2312" w:hAnsi="仿宋_GB2312" w:eastAsia="仿宋_GB2312" w:cs="仿宋_GB2312"/>
          <w:spacing w:val="-4"/>
          <w:sz w:val="32"/>
          <w:szCs w:val="32"/>
          <w:shd w:val="clear" w:color="auto" w:fill="FFFFFF"/>
        </w:rPr>
        <w:t xml:space="preserve">加强政策解读，用通俗易懂的语言解释专业术语和政策背景，减少信息不对称。 </w:t>
      </w:r>
    </w:p>
    <w:p w14:paraId="25290CBE">
      <w:pPr>
        <w:pStyle w:val="8"/>
        <w:shd w:val="clear" w:color="auto" w:fill="FFFFFF"/>
        <w:spacing w:before="0" w:beforeAutospacing="0" w:after="0" w:afterAutospacing="0" w:line="560" w:lineRule="exact"/>
        <w:ind w:firstLine="602" w:firstLineChars="200"/>
        <w:jc w:val="both"/>
        <w:rPr>
          <w:rFonts w:ascii="黑体" w:hAnsi="黑体" w:eastAsia="黑体" w:cs="黑体"/>
          <w:bCs/>
          <w:spacing w:val="-4"/>
          <w:sz w:val="32"/>
          <w:szCs w:val="32"/>
          <w:shd w:val="clear" w:color="auto" w:fill="FFFFFF"/>
          <w:lang w:bidi="ar"/>
        </w:rPr>
      </w:pPr>
      <w:r>
        <w:rPr>
          <w:rFonts w:hint="eastAsia" w:ascii="黑体" w:hAnsi="黑体" w:eastAsia="黑体" w:cs="黑体"/>
          <w:bCs/>
          <w:spacing w:val="-4"/>
          <w:sz w:val="32"/>
          <w:szCs w:val="32"/>
          <w:shd w:val="clear" w:color="auto" w:fill="FFFFFF"/>
          <w:lang w:bidi="ar"/>
        </w:rPr>
        <w:t>六、其他需要报告的事项</w:t>
      </w:r>
    </w:p>
    <w:p w14:paraId="2B23060F">
      <w:pPr>
        <w:pStyle w:val="8"/>
        <w:shd w:val="clear" w:color="auto" w:fill="FFFFFF"/>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（一）收取信息处理费情况方面。</w:t>
      </w:r>
    </w:p>
    <w:p w14:paraId="413C7CDA">
      <w:pPr>
        <w:pStyle w:val="8"/>
        <w:shd w:val="clear" w:color="auto" w:fill="FFFFFF"/>
        <w:spacing w:before="0" w:beforeAutospacing="0" w:after="0" w:afterAutospacing="0" w:line="560" w:lineRule="exact"/>
        <w:ind w:firstLine="602" w:firstLineChars="200"/>
        <w:rPr>
          <w:rFonts w:ascii="Ã¥Â¾Â®Ã¨Â½Â¯Ã©â€ºâ€¦Ã©Â»â€˜" w:hAnsi="Ã¥Â¾Â®Ã¨Â½Â¯Ã©â€ºâ€¦Ã©Â»â€˜" w:eastAsia="Ã¥Â¾Â®Ã¨Â½Â¯Ã©â€ºâ€¦Ã©Â»â€˜" w:cs="Ã¥Â¾Â®Ã¨Â½Â¯Ã©â€ºâ€¦Ã©Â»â€˜"/>
          <w:spacing w:val="-4"/>
          <w:sz w:val="19"/>
          <w:szCs w:val="19"/>
        </w:rPr>
      </w:pPr>
      <w:r>
        <w:rPr>
          <w:rFonts w:hint="eastAsia" w:ascii="仿宋_GB2312" w:hAnsi="DengXian" w:eastAsia="仿宋_GB2312" w:cs="仿宋_GB2312"/>
          <w:spacing w:val="-4"/>
          <w:sz w:val="32"/>
          <w:szCs w:val="32"/>
          <w:shd w:val="clear" w:color="auto" w:fill="FFFFFF"/>
        </w:rPr>
        <w:t>2024</w:t>
      </w:r>
      <w:r>
        <w:rPr>
          <w:rFonts w:hint="eastAsia" w:ascii="仿宋_GB2312" w:hAnsi="Ã¥Â¾Â®Ã¨Â½Â¯Ã©â€ºâ€¦Ã©Â»â€˜" w:eastAsia="仿宋_GB2312" w:cs="仿宋_GB2312"/>
          <w:spacing w:val="-4"/>
          <w:sz w:val="32"/>
          <w:szCs w:val="32"/>
          <w:shd w:val="clear" w:color="auto" w:fill="FFFFFF"/>
        </w:rPr>
        <w:t>年，台儿庄区行政审批服务局不存在因信息处理收取相关费用的情况。</w:t>
      </w:r>
    </w:p>
    <w:p w14:paraId="01FB21F1">
      <w:pPr>
        <w:spacing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（二）落实上级年度政务公开工作要点情况。</w:t>
      </w:r>
    </w:p>
    <w:p w14:paraId="66CB9499">
      <w:pPr>
        <w:spacing w:line="560" w:lineRule="exact"/>
        <w:ind w:firstLine="602" w:firstLineChars="200"/>
        <w:rPr>
          <w:rFonts w:hint="eastAsia" w:ascii="仿宋_GB2312" w:hAnsi="Ã¥Â¾Â®Ã¨Â½Â¯Ã©â€ºâ€¦Ã©Â»â€˜" w:eastAsia="仿宋_GB2312" w:cs="仿宋_GB2312"/>
          <w:spacing w:val="-4"/>
          <w:sz w:val="32"/>
          <w:szCs w:val="32"/>
          <w:shd w:val="clear" w:color="auto" w:fill="FFFFFF"/>
        </w:rPr>
      </w:pPr>
      <w:r>
        <w:rPr>
          <w:rFonts w:hint="eastAsia" w:ascii="仿宋_GB2312" w:hAnsi="Ã¥Â¾Â®Ã¨Â½Â¯Ã©â€ºâ€¦Ã©Â»â€˜" w:eastAsia="仿宋_GB2312" w:cs="仿宋_GB2312"/>
          <w:spacing w:val="-4"/>
          <w:sz w:val="32"/>
          <w:szCs w:val="32"/>
          <w:shd w:val="clear" w:color="auto" w:fill="FFFFFF"/>
        </w:rPr>
        <w:t>2024年，台儿庄区行政审批服务局进一步公开权力清单和责任清单，及时更新干部任免等情况。</w:t>
      </w:r>
      <w:r>
        <w:rPr>
          <w:rFonts w:hint="eastAsia" w:ascii="仿宋_GB2312" w:hAnsi="仿宋_GB2312" w:eastAsia="仿宋_GB2312" w:cs="仿宋_GB2312"/>
          <w:sz w:val="32"/>
          <w:szCs w:val="32"/>
        </w:rPr>
        <w:t>根据相关工作要求情况，对政务门户网站及时更新维护。</w:t>
      </w:r>
    </w:p>
    <w:p w14:paraId="2D8FF363">
      <w:pPr>
        <w:pStyle w:val="8"/>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（三）人大代表建议和政协提案办理结果公开情况。</w:t>
      </w:r>
    </w:p>
    <w:p w14:paraId="74569767">
      <w:pPr>
        <w:pStyle w:val="8"/>
        <w:spacing w:before="0" w:beforeAutospacing="0" w:after="0" w:afterAutospacing="0" w:line="560" w:lineRule="exact"/>
        <w:ind w:firstLine="602" w:firstLineChars="200"/>
        <w:rPr>
          <w:rFonts w:hint="eastAsia" w:ascii="仿宋_GB2312" w:hAnsi="Ã¥Â¾Â®Ã¨Â½Â¯Ã©â€ºâ€¦Ã©Â»â€˜" w:eastAsia="仿宋_GB2312" w:cs="仿宋_GB2312"/>
          <w:spacing w:val="-4"/>
          <w:sz w:val="32"/>
          <w:szCs w:val="32"/>
          <w:shd w:val="clear" w:color="auto" w:fill="FFFFFF"/>
        </w:rPr>
      </w:pPr>
      <w:r>
        <w:rPr>
          <w:rFonts w:hint="eastAsia" w:ascii="仿宋_GB2312" w:hAnsi="DengXian" w:eastAsia="仿宋_GB2312" w:cs="仿宋_GB2312"/>
          <w:spacing w:val="-4"/>
          <w:sz w:val="32"/>
          <w:szCs w:val="32"/>
          <w:shd w:val="clear" w:color="auto" w:fill="FFFFFF"/>
        </w:rPr>
        <w:t>2024</w:t>
      </w:r>
      <w:r>
        <w:rPr>
          <w:rFonts w:hint="eastAsia" w:ascii="仿宋_GB2312" w:hAnsi="Ã¥Â¾Â®Ã¨Â½Â¯Ã©â€ºâ€¦Ã©Â»â€˜" w:eastAsia="仿宋_GB2312" w:cs="仿宋_GB2312"/>
          <w:spacing w:val="-4"/>
          <w:sz w:val="32"/>
          <w:szCs w:val="32"/>
          <w:shd w:val="clear" w:color="auto" w:fill="FFFFFF"/>
        </w:rPr>
        <w:t>年，台儿庄区行政审批服务局共收到人大建议2件,所承办的代表建议在规定的答复时限内答复完毕，建议所提问题已采纳，并将2件答复件进行了主动公开。 </w:t>
      </w:r>
    </w:p>
    <w:p w14:paraId="5B672FEC">
      <w:pPr>
        <w:pStyle w:val="8"/>
        <w:shd w:val="clear" w:color="auto" w:fill="FFFFFF"/>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（四）政务公开工作创新情况。</w:t>
      </w:r>
    </w:p>
    <w:p w14:paraId="5F332121">
      <w:pPr>
        <w:pStyle w:val="8"/>
        <w:shd w:val="clear" w:color="auto" w:fill="FFFFFF"/>
        <w:spacing w:before="0" w:beforeAutospacing="0" w:after="0" w:afterAutospacing="0" w:line="560" w:lineRule="exact"/>
        <w:ind w:firstLine="602" w:firstLineChars="200"/>
        <w:rPr>
          <w:rFonts w:ascii="Ã¥Â¾Â®Ã¨Â½Â¯Ã©â€ºâ€¦Ã©Â»â€˜" w:hAnsi="Ã¥Â¾Â®Ã¨Â½Â¯Ã©â€ºâ€¦Ã©Â»â€˜" w:eastAsia="Ã¥Â¾Â®Ã¨Â½Â¯Ã©â€ºâ€¦Ã©Â»â€˜" w:cs="Ã¥Â¾Â®Ã¨Â½Â¯Ã©â€ºâ€¦Ã©Â»â€˜"/>
          <w:spacing w:val="-4"/>
          <w:sz w:val="19"/>
          <w:szCs w:val="19"/>
        </w:rPr>
      </w:pPr>
      <w:r>
        <w:rPr>
          <w:rFonts w:hint="eastAsia" w:ascii="仿宋_GB2312" w:hAnsi="仿宋_GB2312" w:eastAsia="仿宋_GB2312" w:cs="仿宋_GB2312"/>
          <w:spacing w:val="-4"/>
          <w:sz w:val="32"/>
          <w:szCs w:val="32"/>
          <w:shd w:val="clear" w:color="auto" w:fill="FFFFFF"/>
        </w:rPr>
        <w:t>2024年，台儿区行政审批服务局本着政府信息公开最终目的是为群众提供更好服务的原则，在日常工作中注重服务创新，加强线上线下服务结合，例如，优化政务服务流程、提高服务效率、推广智能化服务等，为群众提供更加便捷、高效的政务服务。</w:t>
      </w:r>
    </w:p>
    <w:p w14:paraId="7CEB18F5">
      <w:pPr>
        <w:pStyle w:val="8"/>
        <w:shd w:val="clear" w:color="auto" w:fill="FFFFFF"/>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（五）本行政机关政府信息公开工作年度报告数据统计需要说明的事项。</w:t>
      </w:r>
    </w:p>
    <w:p w14:paraId="7AD600A8">
      <w:pPr>
        <w:pStyle w:val="8"/>
        <w:shd w:val="clear" w:color="auto" w:fill="FFFFFF"/>
        <w:spacing w:before="0" w:beforeAutospacing="0" w:after="0" w:afterAutospacing="0" w:line="560" w:lineRule="exact"/>
        <w:ind w:firstLine="602" w:firstLineChars="200"/>
        <w:rPr>
          <w:rFonts w:ascii="Ã¥Â¾Â®Ã¨Â½Â¯Ã©â€ºâ€¦Ã©Â»â€˜" w:hAnsi="Ã¥Â¾Â®Ã¨Â½Â¯Ã©â€ºâ€¦Ã©Â»â€˜" w:eastAsia="Ã¥Â¾Â®Ã¨Â½Â¯Ã©â€ºâ€¦Ã©Â»â€˜" w:cs="Ã¥Â¾Â®Ã¨Â½Â¯Ã©â€ºâ€¦Ã©Â»â€˜"/>
          <w:spacing w:val="-4"/>
          <w:sz w:val="19"/>
          <w:szCs w:val="19"/>
        </w:rPr>
      </w:pPr>
      <w:r>
        <w:rPr>
          <w:rFonts w:hint="eastAsia" w:ascii="仿宋_GB2312" w:hAnsi="Ã¥Â¾Â®Ã¨Â½Â¯Ã©â€ºâ€¦Ã©Â»â€˜" w:eastAsia="仿宋_GB2312" w:cs="仿宋_GB2312"/>
          <w:spacing w:val="-4"/>
          <w:sz w:val="32"/>
          <w:szCs w:val="32"/>
          <w:shd w:val="clear" w:color="auto" w:fill="FFFFFF"/>
        </w:rPr>
        <w:t>报告中所列数据的统计期限自</w:t>
      </w:r>
      <w:r>
        <w:rPr>
          <w:rFonts w:hint="eastAsia" w:ascii="仿宋_GB2312" w:hAnsi="DengXian" w:eastAsia="仿宋_GB2312" w:cs="仿宋_GB2312"/>
          <w:spacing w:val="-4"/>
          <w:sz w:val="32"/>
          <w:szCs w:val="32"/>
          <w:shd w:val="clear" w:color="auto" w:fill="FFFFFF"/>
        </w:rPr>
        <w:t>2024</w:t>
      </w:r>
      <w:r>
        <w:rPr>
          <w:rFonts w:hint="eastAsia" w:ascii="仿宋_GB2312" w:hAnsi="Ã¥Â¾Â®Ã¨Â½Â¯Ã©â€ºâ€¦Ã©Â»â€˜" w:eastAsia="仿宋_GB2312" w:cs="仿宋_GB2312"/>
          <w:spacing w:val="-4"/>
          <w:sz w:val="32"/>
          <w:szCs w:val="32"/>
          <w:shd w:val="clear" w:color="auto" w:fill="FFFFFF"/>
        </w:rPr>
        <w:t>年</w:t>
      </w:r>
      <w:r>
        <w:rPr>
          <w:rFonts w:hint="eastAsia" w:ascii="仿宋_GB2312" w:hAnsi="DengXian" w:eastAsia="仿宋_GB2312" w:cs="仿宋_GB2312"/>
          <w:spacing w:val="-4"/>
          <w:sz w:val="32"/>
          <w:szCs w:val="32"/>
          <w:shd w:val="clear" w:color="auto" w:fill="FFFFFF"/>
        </w:rPr>
        <w:t>1</w:t>
      </w:r>
      <w:r>
        <w:rPr>
          <w:rFonts w:hint="eastAsia" w:ascii="仿宋_GB2312" w:hAnsi="Ã¥Â¾Â®Ã¨Â½Â¯Ã©â€ºâ€¦Ã©Â»â€˜" w:eastAsia="仿宋_GB2312" w:cs="仿宋_GB2312"/>
          <w:spacing w:val="-4"/>
          <w:sz w:val="32"/>
          <w:szCs w:val="32"/>
          <w:shd w:val="clear" w:color="auto" w:fill="FFFFFF"/>
        </w:rPr>
        <w:t>月</w:t>
      </w:r>
      <w:r>
        <w:rPr>
          <w:rFonts w:hint="eastAsia" w:ascii="仿宋_GB2312" w:hAnsi="DengXian" w:eastAsia="仿宋_GB2312" w:cs="仿宋_GB2312"/>
          <w:spacing w:val="-4"/>
          <w:sz w:val="32"/>
          <w:szCs w:val="32"/>
          <w:shd w:val="clear" w:color="auto" w:fill="FFFFFF"/>
        </w:rPr>
        <w:t>1</w:t>
      </w:r>
      <w:r>
        <w:rPr>
          <w:rFonts w:hint="eastAsia" w:ascii="仿宋_GB2312" w:hAnsi="Ã¥Â¾Â®Ã¨Â½Â¯Ã©â€ºâ€¦Ã©Â»â€˜" w:eastAsia="仿宋_GB2312" w:cs="仿宋_GB2312"/>
          <w:spacing w:val="-4"/>
          <w:sz w:val="32"/>
          <w:szCs w:val="32"/>
          <w:shd w:val="clear" w:color="auto" w:fill="FFFFFF"/>
        </w:rPr>
        <w:t>日起至</w:t>
      </w:r>
      <w:r>
        <w:rPr>
          <w:rFonts w:hint="eastAsia" w:ascii="仿宋_GB2312" w:hAnsi="DengXian" w:eastAsia="仿宋_GB2312" w:cs="仿宋_GB2312"/>
          <w:spacing w:val="-4"/>
          <w:sz w:val="32"/>
          <w:szCs w:val="32"/>
          <w:shd w:val="clear" w:color="auto" w:fill="FFFFFF"/>
        </w:rPr>
        <w:t>2024</w:t>
      </w:r>
      <w:r>
        <w:rPr>
          <w:rFonts w:hint="eastAsia" w:ascii="仿宋_GB2312" w:hAnsi="Ã¥Â¾Â®Ã¨Â½Â¯Ã©â€ºâ€¦Ã©Â»â€˜" w:eastAsia="仿宋_GB2312" w:cs="仿宋_GB2312"/>
          <w:spacing w:val="-4"/>
          <w:sz w:val="32"/>
          <w:szCs w:val="32"/>
          <w:shd w:val="clear" w:color="auto" w:fill="FFFFFF"/>
        </w:rPr>
        <w:t>年</w:t>
      </w:r>
      <w:r>
        <w:rPr>
          <w:rFonts w:hint="eastAsia" w:ascii="仿宋_GB2312" w:hAnsi="DengXian" w:eastAsia="仿宋_GB2312" w:cs="仿宋_GB2312"/>
          <w:spacing w:val="-4"/>
          <w:sz w:val="32"/>
          <w:szCs w:val="32"/>
          <w:shd w:val="clear" w:color="auto" w:fill="FFFFFF"/>
        </w:rPr>
        <w:t>12</w:t>
      </w:r>
      <w:r>
        <w:rPr>
          <w:rFonts w:hint="eastAsia" w:ascii="仿宋_GB2312" w:hAnsi="Ã¥Â¾Â®Ã¨Â½Â¯Ã©â€ºâ€¦Ã©Â»â€˜" w:eastAsia="仿宋_GB2312" w:cs="仿宋_GB2312"/>
          <w:spacing w:val="-4"/>
          <w:sz w:val="32"/>
          <w:szCs w:val="32"/>
          <w:shd w:val="clear" w:color="auto" w:fill="FFFFFF"/>
        </w:rPr>
        <w:t>月</w:t>
      </w:r>
      <w:r>
        <w:rPr>
          <w:rFonts w:hint="eastAsia" w:ascii="仿宋_GB2312" w:hAnsi="DengXian" w:eastAsia="仿宋_GB2312" w:cs="仿宋_GB2312"/>
          <w:spacing w:val="-4"/>
          <w:sz w:val="32"/>
          <w:szCs w:val="32"/>
          <w:shd w:val="clear" w:color="auto" w:fill="FFFFFF"/>
        </w:rPr>
        <w:t>31</w:t>
      </w:r>
      <w:r>
        <w:rPr>
          <w:rFonts w:hint="eastAsia" w:ascii="仿宋_GB2312" w:hAnsi="Ã¥Â¾Â®Ã¨Â½Â¯Ã©â€ºâ€¦Ã©Â»â€˜" w:eastAsia="仿宋_GB2312" w:cs="仿宋_GB2312"/>
          <w:spacing w:val="-4"/>
          <w:sz w:val="32"/>
          <w:szCs w:val="32"/>
          <w:shd w:val="clear" w:color="auto" w:fill="FFFFFF"/>
        </w:rPr>
        <w:t>日止。</w:t>
      </w:r>
    </w:p>
    <w:p w14:paraId="78221C09">
      <w:pPr>
        <w:pStyle w:val="8"/>
        <w:shd w:val="clear" w:color="auto" w:fill="FFFFFF"/>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（六）本行政机关认为需要报告的其他事项：</w:t>
      </w:r>
    </w:p>
    <w:p w14:paraId="114BAB27">
      <w:pPr>
        <w:pStyle w:val="8"/>
        <w:shd w:val="clear" w:color="auto" w:fill="FFFFFF"/>
        <w:spacing w:before="0" w:beforeAutospacing="0" w:after="0" w:afterAutospacing="0" w:line="560" w:lineRule="exact"/>
        <w:ind w:firstLine="602" w:firstLineChars="200"/>
        <w:rPr>
          <w:rFonts w:hint="eastAsia" w:ascii="Ã¥Â¾Â®Ã¨Â½Â¯Ã©â€ºâ€¦Ã©Â»â€˜" w:hAnsi="Ã¥Â¾Â®Ã¨Â½Â¯Ã©â€ºâ€¦Ã©Â»â€˜" w:eastAsia="楷体_GB2312" w:cs="Ã¥Â¾Â®Ã¨Â½Â¯Ã©â€ºâ€¦Ã©Â»â€˜"/>
          <w:spacing w:val="-4"/>
          <w:sz w:val="19"/>
          <w:szCs w:val="19"/>
        </w:rPr>
      </w:pPr>
      <w:r>
        <w:rPr>
          <w:rFonts w:hint="eastAsia" w:ascii="仿宋_GB2312" w:hAnsi="仿宋_GB2312" w:eastAsia="仿宋_GB2312" w:cs="仿宋_GB2312"/>
          <w:spacing w:val="-4"/>
          <w:sz w:val="32"/>
          <w:szCs w:val="32"/>
          <w:shd w:val="clear" w:color="auto" w:fill="FFFFFF"/>
        </w:rPr>
        <w:t>无。</w:t>
      </w:r>
    </w:p>
    <w:p w14:paraId="01C4B841">
      <w:pPr>
        <w:pStyle w:val="8"/>
        <w:shd w:val="clear" w:color="auto" w:fill="FFFFFF"/>
        <w:spacing w:before="0" w:beforeAutospacing="0" w:after="0" w:afterAutospacing="0" w:line="560" w:lineRule="exact"/>
        <w:ind w:firstLine="602" w:firstLineChars="20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（七）其他有关文件专门要求通过政府信息公开工作年度报告予以报告的事项：</w:t>
      </w:r>
    </w:p>
    <w:p w14:paraId="26E35116">
      <w:pPr>
        <w:pStyle w:val="8"/>
        <w:shd w:val="clear" w:color="auto" w:fill="FFFFFF"/>
        <w:spacing w:before="0" w:beforeAutospacing="0" w:after="0" w:afterAutospacing="0" w:line="560" w:lineRule="exact"/>
        <w:ind w:firstLine="602" w:firstLineChars="200"/>
        <w:rPr>
          <w:rFonts w:hint="eastAsia" w:ascii="仿宋_GB2312" w:hAnsi="Ã¥Â¾Â®Ã¨Â½Â¯Ã©â€ºâ€¦Ã©Â»â€˜" w:eastAsia="仿宋_GB2312" w:cs="仿宋_GB2312"/>
          <w:spacing w:val="-4"/>
          <w:sz w:val="32"/>
          <w:szCs w:val="32"/>
          <w:shd w:val="clear" w:color="auto" w:fill="FFFFFF"/>
        </w:rPr>
      </w:pPr>
      <w:r>
        <w:rPr>
          <w:rFonts w:hint="eastAsia" w:ascii="仿宋_GB2312" w:hAnsi="Ã¥Â¾Â®Ã¨Â½Â¯Ã©â€ºâ€¦Ã©Â»â€˜" w:eastAsia="仿宋_GB2312" w:cs="仿宋_GB2312"/>
          <w:spacing w:val="-4"/>
          <w:sz w:val="32"/>
          <w:szCs w:val="32"/>
          <w:shd w:val="clear" w:color="auto" w:fill="FFFFFF"/>
        </w:rPr>
        <w:t>无。</w:t>
      </w:r>
    </w:p>
    <w:p w14:paraId="6D6856D8">
      <w:pPr>
        <w:pStyle w:val="8"/>
        <w:shd w:val="clear" w:color="auto" w:fill="FFFFFF"/>
        <w:spacing w:before="0" w:beforeAutospacing="0" w:after="0" w:afterAutospacing="0" w:line="560" w:lineRule="exact"/>
        <w:rPr>
          <w:rFonts w:hint="eastAsia" w:ascii="仿宋_GB2312" w:hAnsi="Ã¥Â¾Â®Ã¨Â½Â¯Ã©â€ºâ€¦Ã©Â»â€˜" w:eastAsia="仿宋_GB2312" w:cs="仿宋_GB2312"/>
          <w:spacing w:val="-4"/>
          <w:sz w:val="32"/>
          <w:szCs w:val="32"/>
          <w:shd w:val="clear" w:color="auto" w:fill="FFFFFF"/>
        </w:rPr>
      </w:pPr>
    </w:p>
    <w:p w14:paraId="37871A0C">
      <w:pPr>
        <w:pStyle w:val="8"/>
        <w:shd w:val="clear" w:color="auto" w:fill="FFFFFF"/>
        <w:spacing w:before="0" w:beforeAutospacing="0" w:after="0" w:afterAutospacing="0" w:line="560" w:lineRule="exact"/>
        <w:ind w:firstLine="602" w:firstLineChars="200"/>
        <w:jc w:val="right"/>
        <w:rPr>
          <w:rFonts w:ascii="Ã¥Â¾Â®Ã¨Â½Â¯Ã©â€ºâ€¦Ã©Â»â€˜" w:hAnsi="Ã¥Â¾Â®Ã¨Â½Â¯Ã©â€ºâ€¦Ã©Â»â€˜" w:eastAsia="Ã¥Â¾Â®Ã¨Â½Â¯Ã©â€ºâ€¦Ã©Â»â€˜" w:cs="Ã¥Â¾Â®Ã¨Â½Â¯Ã©â€ºâ€¦Ã©Â»â€˜"/>
          <w:spacing w:val="-4"/>
          <w:sz w:val="32"/>
          <w:szCs w:val="32"/>
        </w:rPr>
      </w:pPr>
      <w:r>
        <w:rPr>
          <w:rFonts w:hint="eastAsia" w:ascii="仿宋_GB2312" w:hAnsi="Ã¥Â¾Â®Ã¨Â½Â¯Ã©â€ºâ€¦Ã©Â»â€˜" w:eastAsia="仿宋_GB2312" w:cs="仿宋_GB2312"/>
          <w:spacing w:val="-4"/>
          <w:sz w:val="32"/>
          <w:szCs w:val="32"/>
          <w:shd w:val="clear" w:color="auto" w:fill="FFFFFF"/>
        </w:rPr>
        <w:t>台儿庄区行政审批服务局</w:t>
      </w:r>
    </w:p>
    <w:p w14:paraId="76D718A3">
      <w:pPr>
        <w:pStyle w:val="8"/>
        <w:shd w:val="clear" w:color="auto" w:fill="FFFFFF"/>
        <w:spacing w:before="0" w:beforeAutospacing="0" w:after="0" w:afterAutospacing="0" w:line="560" w:lineRule="exact"/>
        <w:ind w:firstLine="602" w:firstLineChars="200"/>
        <w:jc w:val="right"/>
        <w:rPr>
          <w:rFonts w:hint="eastAsia" w:ascii="仿宋_GB2312" w:hAnsi="Ã¥Â¾Â®Ã¨Â½Â¯Ã©â€ºâ€¦Ã©Â»â€˜" w:eastAsia="仿宋_GB2312" w:cs="仿宋_GB2312"/>
          <w:spacing w:val="-4"/>
          <w:sz w:val="32"/>
          <w:szCs w:val="32"/>
          <w:shd w:val="clear" w:color="auto" w:fill="FFFFFF"/>
        </w:rPr>
      </w:pPr>
      <w:r>
        <w:rPr>
          <w:rFonts w:hint="eastAsia" w:ascii="仿宋_GB2312" w:hAnsi="Ã¥Â¾Â®Ã¨Â½Â¯Ã©â€ºâ€¦Ã©Â»â€˜" w:eastAsia="仿宋_GB2312" w:cs="仿宋_GB2312"/>
          <w:spacing w:val="-4"/>
          <w:sz w:val="32"/>
          <w:szCs w:val="32"/>
          <w:shd w:val="clear" w:color="auto" w:fill="FFFFFF"/>
        </w:rPr>
        <w:t>202</w:t>
      </w:r>
      <w:r>
        <w:rPr>
          <w:rFonts w:hint="eastAsia" w:ascii="仿宋_GB2312" w:hAnsi="Ã¥Â¾Â®Ã¨Â½Â¯Ã©â€ºâ€¦Ã©Â»â€˜" w:eastAsia="仿宋_GB2312" w:cs="仿宋_GB2312"/>
          <w:spacing w:val="-4"/>
          <w:sz w:val="32"/>
          <w:szCs w:val="32"/>
          <w:shd w:val="clear" w:color="auto" w:fill="FFFFFF"/>
          <w:lang w:val="en-US" w:eastAsia="zh-CN"/>
        </w:rPr>
        <w:t>5</w:t>
      </w:r>
      <w:bookmarkStart w:id="10" w:name="_GoBack"/>
      <w:bookmarkEnd w:id="10"/>
      <w:r>
        <w:rPr>
          <w:rFonts w:hint="eastAsia" w:ascii="仿宋_GB2312" w:hAnsi="Ã¥Â¾Â®Ã¨Â½Â¯Ã©â€ºâ€¦Ã©Â»â€˜" w:eastAsia="仿宋_GB2312" w:cs="仿宋_GB2312"/>
          <w:spacing w:val="-4"/>
          <w:sz w:val="32"/>
          <w:szCs w:val="32"/>
          <w:shd w:val="clear" w:color="auto" w:fill="FFFFFF"/>
          <w:lang w:val="en-US" w:eastAsia="zh-CN"/>
        </w:rPr>
        <w:t>年</w:t>
      </w:r>
      <w:r>
        <w:rPr>
          <w:rFonts w:hint="eastAsia" w:ascii="仿宋_GB2312" w:hAnsi="DengXian" w:eastAsia="仿宋_GB2312" w:cs="仿宋_GB2312"/>
          <w:spacing w:val="-4"/>
          <w:sz w:val="32"/>
          <w:szCs w:val="32"/>
          <w:shd w:val="clear" w:color="auto" w:fill="FFFFFF"/>
        </w:rPr>
        <w:t>1</w:t>
      </w:r>
      <w:r>
        <w:rPr>
          <w:rFonts w:hint="eastAsia" w:ascii="仿宋_GB2312" w:hAnsi="Ã¥Â¾Â®Ã¨Â½Â¯Ã©â€ºâ€¦Ã©Â»â€˜" w:eastAsia="仿宋_GB2312" w:cs="仿宋_GB2312"/>
          <w:spacing w:val="-4"/>
          <w:sz w:val="32"/>
          <w:szCs w:val="32"/>
          <w:shd w:val="clear" w:color="auto" w:fill="FFFFFF"/>
        </w:rPr>
        <w:t>月</w:t>
      </w:r>
      <w:r>
        <w:rPr>
          <w:rFonts w:hint="eastAsia" w:ascii="仿宋_GB2312" w:hAnsi="DengXian" w:eastAsia="仿宋_GB2312" w:cs="仿宋_GB2312"/>
          <w:spacing w:val="-4"/>
          <w:sz w:val="32"/>
          <w:szCs w:val="32"/>
          <w:shd w:val="clear" w:color="auto" w:fill="FFFFFF"/>
        </w:rPr>
        <w:t>1</w:t>
      </w:r>
      <w:r>
        <w:rPr>
          <w:rFonts w:hint="eastAsia" w:ascii="仿宋_GB2312" w:hAnsi="DengXian" w:eastAsia="仿宋_GB2312" w:cs="仿宋_GB2312"/>
          <w:spacing w:val="-4"/>
          <w:sz w:val="32"/>
          <w:szCs w:val="32"/>
          <w:shd w:val="clear" w:color="auto" w:fill="FFFFFF"/>
          <w:lang w:val="en-US" w:eastAsia="zh-CN"/>
        </w:rPr>
        <w:t>5</w:t>
      </w:r>
      <w:r>
        <w:rPr>
          <w:rFonts w:hint="eastAsia" w:ascii="仿宋_GB2312" w:hAnsi="Ã¥Â¾Â®Ã¨Â½Â¯Ã©â€ºâ€¦Ã©Â»â€˜" w:eastAsia="仿宋_GB2312" w:cs="仿宋_GB2312"/>
          <w:spacing w:val="-4"/>
          <w:sz w:val="32"/>
          <w:szCs w:val="32"/>
          <w:shd w:val="clear" w:color="auto" w:fill="FFFFFF"/>
        </w:rPr>
        <w:t xml:space="preserve">日   </w:t>
      </w:r>
    </w:p>
    <w:sectPr>
      <w:footerReference r:id="rId3" w:type="default"/>
      <w:footerReference r:id="rId4" w:type="even"/>
      <w:pgSz w:w="11906" w:h="16838"/>
      <w:pgMar w:top="1985" w:right="1588" w:bottom="1701" w:left="1588" w:header="1417" w:footer="1417" w:gutter="0"/>
      <w:pgNumType w:fmt="numberInDas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7DB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86EC3">
                          <w:pPr>
                            <w:pStyle w:val="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B86EC3">
                    <w:pPr>
                      <w:pStyle w:val="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8A6E">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7B3BB">
                          <w:pPr>
                            <w:pStyle w:val="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EF7B3BB">
                    <w:pPr>
                      <w:pStyle w:val="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F8148"/>
    <w:multiLevelType w:val="singleLevel"/>
    <w:tmpl w:val="1E1F81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zQxODdiNDZhMWIyYzIzMjU5MmJmNTllMWM4NTYifQ=="/>
  </w:docVars>
  <w:rsids>
    <w:rsidRoot w:val="34EC3754"/>
    <w:rsid w:val="00007884"/>
    <w:rsid w:val="00010E5E"/>
    <w:rsid w:val="00011885"/>
    <w:rsid w:val="000149C9"/>
    <w:rsid w:val="0003383F"/>
    <w:rsid w:val="00064D97"/>
    <w:rsid w:val="00070B65"/>
    <w:rsid w:val="00072FAA"/>
    <w:rsid w:val="00085421"/>
    <w:rsid w:val="00086B07"/>
    <w:rsid w:val="000A3589"/>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33A82"/>
    <w:rsid w:val="00234842"/>
    <w:rsid w:val="002638AA"/>
    <w:rsid w:val="00264EC1"/>
    <w:rsid w:val="0026778D"/>
    <w:rsid w:val="00283F9A"/>
    <w:rsid w:val="00297859"/>
    <w:rsid w:val="002B359A"/>
    <w:rsid w:val="002C1314"/>
    <w:rsid w:val="002D2EAC"/>
    <w:rsid w:val="003037BF"/>
    <w:rsid w:val="003253BB"/>
    <w:rsid w:val="00335B30"/>
    <w:rsid w:val="00340F1F"/>
    <w:rsid w:val="00342068"/>
    <w:rsid w:val="00355784"/>
    <w:rsid w:val="003731D7"/>
    <w:rsid w:val="00375848"/>
    <w:rsid w:val="00385B2D"/>
    <w:rsid w:val="00395DB7"/>
    <w:rsid w:val="003C2B5F"/>
    <w:rsid w:val="003C6AC1"/>
    <w:rsid w:val="003F4DE7"/>
    <w:rsid w:val="00417B74"/>
    <w:rsid w:val="004243E3"/>
    <w:rsid w:val="00433071"/>
    <w:rsid w:val="00442280"/>
    <w:rsid w:val="00453CF5"/>
    <w:rsid w:val="00470C48"/>
    <w:rsid w:val="00473466"/>
    <w:rsid w:val="00480430"/>
    <w:rsid w:val="00490F2D"/>
    <w:rsid w:val="004A2534"/>
    <w:rsid w:val="004D0B68"/>
    <w:rsid w:val="004D0E98"/>
    <w:rsid w:val="004E4913"/>
    <w:rsid w:val="004F1C10"/>
    <w:rsid w:val="004F3C24"/>
    <w:rsid w:val="00525F70"/>
    <w:rsid w:val="00563169"/>
    <w:rsid w:val="005951B9"/>
    <w:rsid w:val="00596887"/>
    <w:rsid w:val="0059783E"/>
    <w:rsid w:val="00615B8E"/>
    <w:rsid w:val="00615FC5"/>
    <w:rsid w:val="0063273E"/>
    <w:rsid w:val="00633E28"/>
    <w:rsid w:val="006341BC"/>
    <w:rsid w:val="00650565"/>
    <w:rsid w:val="006866C2"/>
    <w:rsid w:val="006A6E86"/>
    <w:rsid w:val="006B490A"/>
    <w:rsid w:val="006D08A9"/>
    <w:rsid w:val="006D68B0"/>
    <w:rsid w:val="006E144F"/>
    <w:rsid w:val="00715DEF"/>
    <w:rsid w:val="00721F90"/>
    <w:rsid w:val="00737B29"/>
    <w:rsid w:val="00753892"/>
    <w:rsid w:val="00757C12"/>
    <w:rsid w:val="00771949"/>
    <w:rsid w:val="00773B23"/>
    <w:rsid w:val="00783695"/>
    <w:rsid w:val="00785F9B"/>
    <w:rsid w:val="0078671D"/>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1F81"/>
    <w:rsid w:val="009B249F"/>
    <w:rsid w:val="009B28F4"/>
    <w:rsid w:val="009D5B48"/>
    <w:rsid w:val="009D7471"/>
    <w:rsid w:val="009F1DA1"/>
    <w:rsid w:val="00A20FC1"/>
    <w:rsid w:val="00A37E2A"/>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57EC"/>
    <w:rsid w:val="00C06007"/>
    <w:rsid w:val="00C24B37"/>
    <w:rsid w:val="00C625A4"/>
    <w:rsid w:val="00C738DE"/>
    <w:rsid w:val="00C96A2C"/>
    <w:rsid w:val="00CA64AD"/>
    <w:rsid w:val="00CB5DEA"/>
    <w:rsid w:val="00CB5EBF"/>
    <w:rsid w:val="00CC032A"/>
    <w:rsid w:val="00CC18B8"/>
    <w:rsid w:val="00CC73DE"/>
    <w:rsid w:val="00CE4443"/>
    <w:rsid w:val="00CF01E0"/>
    <w:rsid w:val="00CF1E5A"/>
    <w:rsid w:val="00D102F5"/>
    <w:rsid w:val="00D15282"/>
    <w:rsid w:val="00D20841"/>
    <w:rsid w:val="00D22334"/>
    <w:rsid w:val="00D27C06"/>
    <w:rsid w:val="00D27E22"/>
    <w:rsid w:val="00D354B5"/>
    <w:rsid w:val="00D570FC"/>
    <w:rsid w:val="00DA126F"/>
    <w:rsid w:val="00DB7F54"/>
    <w:rsid w:val="00DC068A"/>
    <w:rsid w:val="00DC36D6"/>
    <w:rsid w:val="00DE5830"/>
    <w:rsid w:val="00E07C8E"/>
    <w:rsid w:val="00E1390A"/>
    <w:rsid w:val="00E15B1D"/>
    <w:rsid w:val="00E3414E"/>
    <w:rsid w:val="00E7122D"/>
    <w:rsid w:val="00E7157F"/>
    <w:rsid w:val="00E832B1"/>
    <w:rsid w:val="00E84F6C"/>
    <w:rsid w:val="00E8688E"/>
    <w:rsid w:val="00E86EF9"/>
    <w:rsid w:val="00EC4A06"/>
    <w:rsid w:val="00ED6C68"/>
    <w:rsid w:val="00EE04D0"/>
    <w:rsid w:val="00EF09DD"/>
    <w:rsid w:val="00F10172"/>
    <w:rsid w:val="00F15D23"/>
    <w:rsid w:val="00F17EBD"/>
    <w:rsid w:val="00F3164F"/>
    <w:rsid w:val="00F376A4"/>
    <w:rsid w:val="00F4601B"/>
    <w:rsid w:val="00F462A7"/>
    <w:rsid w:val="00F77054"/>
    <w:rsid w:val="00F81870"/>
    <w:rsid w:val="00F82DB8"/>
    <w:rsid w:val="00F9617C"/>
    <w:rsid w:val="00FD5392"/>
    <w:rsid w:val="00FE1A90"/>
    <w:rsid w:val="00FF476A"/>
    <w:rsid w:val="0468441A"/>
    <w:rsid w:val="052F4A4A"/>
    <w:rsid w:val="06B31E2E"/>
    <w:rsid w:val="06F21F49"/>
    <w:rsid w:val="085C148C"/>
    <w:rsid w:val="08C47A01"/>
    <w:rsid w:val="090E293E"/>
    <w:rsid w:val="09927CDC"/>
    <w:rsid w:val="099E0C09"/>
    <w:rsid w:val="09A51945"/>
    <w:rsid w:val="09FE0C04"/>
    <w:rsid w:val="0A76209D"/>
    <w:rsid w:val="0BB91287"/>
    <w:rsid w:val="0C782C7D"/>
    <w:rsid w:val="0D8D133A"/>
    <w:rsid w:val="0F043460"/>
    <w:rsid w:val="12203F32"/>
    <w:rsid w:val="125C51C2"/>
    <w:rsid w:val="12F726D1"/>
    <w:rsid w:val="147E4E1C"/>
    <w:rsid w:val="169F72CB"/>
    <w:rsid w:val="19081CDC"/>
    <w:rsid w:val="1AA80432"/>
    <w:rsid w:val="1AC93793"/>
    <w:rsid w:val="1ADD5D48"/>
    <w:rsid w:val="1B8D6B9A"/>
    <w:rsid w:val="1BC461DC"/>
    <w:rsid w:val="1C500941"/>
    <w:rsid w:val="1C80194D"/>
    <w:rsid w:val="1D305121"/>
    <w:rsid w:val="20E96623"/>
    <w:rsid w:val="22DE784D"/>
    <w:rsid w:val="23170E1E"/>
    <w:rsid w:val="234E2418"/>
    <w:rsid w:val="244B2840"/>
    <w:rsid w:val="26D465DF"/>
    <w:rsid w:val="273F3385"/>
    <w:rsid w:val="2B300A31"/>
    <w:rsid w:val="2B4E3C62"/>
    <w:rsid w:val="2C937E06"/>
    <w:rsid w:val="2FAA198B"/>
    <w:rsid w:val="2FB27BEF"/>
    <w:rsid w:val="310A7126"/>
    <w:rsid w:val="345854A5"/>
    <w:rsid w:val="34BE1E25"/>
    <w:rsid w:val="34EC3754"/>
    <w:rsid w:val="40757453"/>
    <w:rsid w:val="427306CF"/>
    <w:rsid w:val="42C6780A"/>
    <w:rsid w:val="42E83C24"/>
    <w:rsid w:val="434F20D4"/>
    <w:rsid w:val="43671FA2"/>
    <w:rsid w:val="448E0AA9"/>
    <w:rsid w:val="45CC15DB"/>
    <w:rsid w:val="4B990567"/>
    <w:rsid w:val="4C994727"/>
    <w:rsid w:val="4DED7B75"/>
    <w:rsid w:val="4FBE3380"/>
    <w:rsid w:val="52061A81"/>
    <w:rsid w:val="53716118"/>
    <w:rsid w:val="540D1B55"/>
    <w:rsid w:val="56AE2637"/>
    <w:rsid w:val="57C60CA5"/>
    <w:rsid w:val="58443B67"/>
    <w:rsid w:val="58E23F55"/>
    <w:rsid w:val="5A362D6D"/>
    <w:rsid w:val="5A8048C2"/>
    <w:rsid w:val="5A8A5B22"/>
    <w:rsid w:val="5A8D766B"/>
    <w:rsid w:val="5AA30C1F"/>
    <w:rsid w:val="5BF628E8"/>
    <w:rsid w:val="5C625E26"/>
    <w:rsid w:val="5CFB5CA6"/>
    <w:rsid w:val="5DF77933"/>
    <w:rsid w:val="5E2A7350"/>
    <w:rsid w:val="5F8A1E93"/>
    <w:rsid w:val="603757DF"/>
    <w:rsid w:val="62963057"/>
    <w:rsid w:val="63620412"/>
    <w:rsid w:val="63843F1E"/>
    <w:rsid w:val="63917B66"/>
    <w:rsid w:val="6415349F"/>
    <w:rsid w:val="65F8334A"/>
    <w:rsid w:val="68EB3B40"/>
    <w:rsid w:val="690B02EE"/>
    <w:rsid w:val="694D729F"/>
    <w:rsid w:val="69F53E34"/>
    <w:rsid w:val="6CA77A14"/>
    <w:rsid w:val="6CBF0DEC"/>
    <w:rsid w:val="6DD138B4"/>
    <w:rsid w:val="6DDB4A88"/>
    <w:rsid w:val="6FE95A7F"/>
    <w:rsid w:val="72E36D0B"/>
    <w:rsid w:val="74DD25FB"/>
    <w:rsid w:val="74F2294A"/>
    <w:rsid w:val="752913AF"/>
    <w:rsid w:val="752C1989"/>
    <w:rsid w:val="752F3AB5"/>
    <w:rsid w:val="767151A0"/>
    <w:rsid w:val="76DFC3E1"/>
    <w:rsid w:val="779B549C"/>
    <w:rsid w:val="77F8480C"/>
    <w:rsid w:val="781E26E6"/>
    <w:rsid w:val="79675E3D"/>
    <w:rsid w:val="7A170370"/>
    <w:rsid w:val="7B8B0ECF"/>
    <w:rsid w:val="7CCB2E87"/>
    <w:rsid w:val="7CDB518C"/>
    <w:rsid w:val="7D9453F1"/>
    <w:rsid w:val="7DF703D1"/>
    <w:rsid w:val="7F410732"/>
    <w:rsid w:val="CFB3167C"/>
    <w:rsid w:val="E3F97341"/>
    <w:rsid w:val="FFE39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645"/>
    </w:pPr>
    <w:rPr>
      <w:rFonts w:ascii="仿宋_GB2312" w:eastAsia="仿宋_GB2312"/>
      <w:sz w:val="32"/>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ind w:right="360" w:firstLine="360"/>
      <w:jc w:val="center"/>
    </w:pPr>
    <w:rPr>
      <w:rFonts w:ascii="宋体" w:hAnsi="宋体"/>
      <w:sz w:val="28"/>
      <w:szCs w:val="2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autoRedefine/>
    <w:qFormat/>
    <w:uiPriority w:val="99"/>
    <w:rPr>
      <w:color w:val="0000FF"/>
      <w:u w:val="single"/>
    </w:rPr>
  </w:style>
  <w:style w:type="paragraph" w:customStyle="1" w:styleId="16">
    <w:name w:val="Char"/>
    <w:basedOn w:val="1"/>
    <w:autoRedefine/>
    <w:qFormat/>
    <w:uiPriority w:val="0"/>
    <w:pPr>
      <w:widowControl/>
      <w:jc w:val="left"/>
    </w:pPr>
    <w:rPr>
      <w:rFonts w:ascii="Tahoma" w:hAnsi="Tahoma" w:cs="仿宋_GB2312"/>
      <w:kern w:val="0"/>
      <w:sz w:val="24"/>
    </w:rPr>
  </w:style>
  <w:style w:type="paragraph" w:customStyle="1" w:styleId="17">
    <w:name w:val="正文缩进1"/>
    <w:basedOn w:val="1"/>
    <w:autoRedefine/>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3323</Words>
  <Characters>3450</Characters>
  <Lines>27</Lines>
  <Paragraphs>7</Paragraphs>
  <TotalTime>192</TotalTime>
  <ScaleCrop>false</ScaleCrop>
  <LinksUpToDate>false</LinksUpToDate>
  <CharactersWithSpaces>3459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2024-01-05T08:13:00Z</dcterms:created>
  <dc:creator>Administrator</dc:creator>
  <cp:lastModifiedBy>袁刚</cp:lastModifiedBy>
  <cp:lastPrinted>2025-01-14T06:05:00Z</cp:lastPrinted>
  <dcterms:modified xsi:type="dcterms:W3CDTF">2025-01-15T02:58:15Z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2052-12.1.0.19302</vt:lpwstr>
  </property>
  <property fmtid="{D5CDD505-2E9C-101B-9397-08002B2CF9AE}" pid="4" name="KSOTemplateDocerSaveRecord">
    <vt:lpwstr>eyJoZGlkIjoiZjUyNDM2NDc2YzA1YzdjNzBlYjhjZmYyMWQzOWJjNjEiLCJ1c2VySWQiOiIxNDk2MDkzNjE4In0=</vt:lpwstr>
  </property>
</Properties>
</file>