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9B" w:rsidRPr="00FE4D9B" w:rsidRDefault="00FE4D9B" w:rsidP="00FE4D9B">
      <w:pPr>
        <w:spacing w:line="560" w:lineRule="exact"/>
        <w:jc w:val="center"/>
        <w:rPr>
          <w:rFonts w:ascii="方正小标宋简体" w:eastAsia="方正小标宋简体" w:hAnsi="仿宋_GB2312" w:cs="仿宋_GB2312" w:hint="eastAsia"/>
          <w:sz w:val="44"/>
          <w:szCs w:val="44"/>
        </w:rPr>
      </w:pPr>
      <w:r w:rsidRPr="00FE4D9B">
        <w:rPr>
          <w:rFonts w:ascii="方正小标宋简体" w:eastAsia="方正小标宋简体" w:hAnsi="仿宋_GB2312" w:cs="仿宋_GB2312" w:hint="eastAsia"/>
          <w:sz w:val="44"/>
          <w:szCs w:val="44"/>
        </w:rPr>
        <w:t>枣庄市台儿庄区审计局</w:t>
      </w:r>
    </w:p>
    <w:p w:rsidR="00FE4D9B" w:rsidRPr="00FE4D9B" w:rsidRDefault="00FE4D9B" w:rsidP="00FE4D9B">
      <w:pPr>
        <w:spacing w:line="560" w:lineRule="exact"/>
        <w:jc w:val="center"/>
        <w:rPr>
          <w:rFonts w:ascii="方正小标宋简体" w:eastAsia="方正小标宋简体" w:hAnsi="仿宋_GB2312" w:cs="仿宋_GB2312" w:hint="eastAsia"/>
          <w:sz w:val="44"/>
          <w:szCs w:val="44"/>
        </w:rPr>
      </w:pPr>
      <w:r w:rsidRPr="00FE4D9B">
        <w:rPr>
          <w:rFonts w:ascii="方正小标宋简体" w:eastAsia="方正小标宋简体" w:hAnsi="仿宋_GB2312" w:cs="仿宋_GB2312" w:hint="eastAsia"/>
          <w:sz w:val="44"/>
          <w:szCs w:val="44"/>
        </w:rPr>
        <w:t>2023年度政府信息公开工作年度报告</w:t>
      </w:r>
    </w:p>
    <w:p w:rsidR="00FE4D9B" w:rsidRDefault="00FE4D9B">
      <w:pPr>
        <w:spacing w:line="560" w:lineRule="exact"/>
        <w:ind w:firstLineChars="200" w:firstLine="640"/>
        <w:rPr>
          <w:rFonts w:ascii="仿宋_GB2312" w:eastAsia="仿宋_GB2312" w:hAnsi="仿宋_GB2312" w:cs="仿宋_GB2312"/>
          <w:sz w:val="32"/>
          <w:szCs w:val="32"/>
        </w:rPr>
      </w:pP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根据《中华人民共和国政府信息公开条例》和《台儿庄区人民政府办公</w:t>
      </w:r>
      <w:bookmarkStart w:id="0" w:name="_GoBack"/>
      <w:bookmarkEnd w:id="0"/>
      <w:r>
        <w:rPr>
          <w:rFonts w:ascii="仿宋_GB2312" w:eastAsia="仿宋_GB2312" w:hAnsi="仿宋_GB2312" w:cs="仿宋_GB2312" w:hint="eastAsia"/>
          <w:sz w:val="32"/>
          <w:szCs w:val="32"/>
        </w:rPr>
        <w:t>室关于做好</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年政府信息公开工作年度报告编制和发布工作的通知》要求，结合我局工作实际，制定区审计局</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年度政府信息工作年度报告。本年度报告所列数据的统计期限至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日止。如对本报告有疑问，请联系区审计局，联系电话：</w:t>
      </w:r>
      <w:r>
        <w:rPr>
          <w:rFonts w:ascii="仿宋_GB2312" w:eastAsia="仿宋_GB2312" w:hAnsi="仿宋_GB2312" w:cs="仿宋_GB2312" w:hint="eastAsia"/>
          <w:sz w:val="32"/>
          <w:szCs w:val="32"/>
        </w:rPr>
        <w:t>0632-6611791</w:t>
      </w:r>
      <w:r>
        <w:rPr>
          <w:rFonts w:ascii="仿宋_GB2312" w:eastAsia="仿宋_GB2312" w:hAnsi="仿宋_GB2312" w:cs="仿宋_GB2312" w:hint="eastAsia"/>
          <w:sz w:val="32"/>
          <w:szCs w:val="32"/>
        </w:rPr>
        <w:t>。</w:t>
      </w:r>
    </w:p>
    <w:p w:rsidR="001A0894" w:rsidRDefault="008F372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年，区审计局坚持以习近平新时代中国特色社会主义思想为指引，深入学习贯彻党的二</w:t>
      </w:r>
      <w:r w:rsidR="001B7C48">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大精神，立足经济监督定位，坚持以人民为中心，全力做好政府信息公开工作，助力人民满意型审计机关建设。</w:t>
      </w:r>
    </w:p>
    <w:p w:rsidR="001A0894" w:rsidRDefault="008F372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（一）主动公开情况</w:t>
      </w: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区审计局持续加大政府信息公开力度，围绕全面加强政府自身建设做好信息公开，加强对重点领域信息公开，积极主动公开审计信息、审计项目实施进展情况及评估、审计整改落实情况等信息；依照《中华人民共和国政府信息公开条例》完成了机构职能、处罚强制信息、重要部署执行公开、行政全力运行公开、法治政府建设以及政务公</w:t>
      </w:r>
      <w:r>
        <w:rPr>
          <w:rFonts w:ascii="仿宋_GB2312" w:eastAsia="仿宋_GB2312" w:hAnsi="仿宋_GB2312" w:cs="仿宋_GB2312" w:hint="eastAsia"/>
          <w:sz w:val="32"/>
          <w:szCs w:val="32"/>
        </w:rPr>
        <w:t>开保障机制等内容的更新梳理，并及时在政府门户网站进行公开。健全信息公开机制，加强信息公开审核，确保各信息公开内容完整准确。</w:t>
      </w:r>
    </w:p>
    <w:p w:rsidR="001A0894" w:rsidRDefault="008F3723">
      <w:pPr>
        <w:ind w:firstLineChars="200" w:firstLine="420"/>
      </w:pPr>
      <w:r>
        <w:rPr>
          <w:noProof/>
        </w:rPr>
        <w:lastRenderedPageBreak/>
        <w:drawing>
          <wp:inline distT="0" distB="0" distL="114300" distR="114300">
            <wp:extent cx="4838700" cy="28301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38700" cy="2830195"/>
                    </a:xfrm>
                    <a:prstGeom prst="rect">
                      <a:avLst/>
                    </a:prstGeom>
                    <a:noFill/>
                    <a:ln>
                      <a:noFill/>
                    </a:ln>
                  </pic:spPr>
                </pic:pic>
              </a:graphicData>
            </a:graphic>
          </wp:inline>
        </w:drawing>
      </w:r>
    </w:p>
    <w:p w:rsidR="001A0894" w:rsidRDefault="008F372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（二）依申请公开情况</w:t>
      </w: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规范依申请公开程序，做好登记、审核、办理、答复、归档等环节工作。明确专人负责政府门户网站更新和依申请公开工作，确保信函、网络申请渠道和咨询电话畅通，严格按制度规范答复程序，确保答复形式和内容规范、有针对性，援引法条和救济渠道准确，推进依申请公开标准化规范化建设。</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年度，我局未收到依申请公开事项。</w:t>
      </w:r>
    </w:p>
    <w:p w:rsidR="001A0894" w:rsidRDefault="008F372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（三）政府信息管理情况</w:t>
      </w: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加强信息管理，规范流程，严格落实审</w:t>
      </w:r>
      <w:r>
        <w:rPr>
          <w:rFonts w:ascii="仿宋_GB2312" w:eastAsia="仿宋_GB2312" w:hAnsi="仿宋_GB2312" w:cs="仿宋_GB2312" w:hint="eastAsia"/>
          <w:sz w:val="32"/>
          <w:szCs w:val="32"/>
        </w:rPr>
        <w:t>核机制。严格按照《政府信息公开条例》和相关要求，从制作信息到公开信息，对政府信息的公开属性、内容、方式等进行全流程审查。对已公开的信息进行动态管理，完成区审计局政府信息主动全清单的再次梳理、调整和公开，及时对相关网站栏目内容进行调整。</w:t>
      </w:r>
    </w:p>
    <w:p w:rsidR="001A0894" w:rsidRDefault="008F372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（四）政府信息公开平台建设情况</w:t>
      </w: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优化网站功能，强化日常管理，稳步推进平台建设。一是</w:t>
      </w:r>
      <w:r>
        <w:rPr>
          <w:rFonts w:ascii="仿宋_GB2312" w:eastAsia="仿宋_GB2312" w:hAnsi="仿宋_GB2312" w:cs="仿宋_GB2312" w:hint="eastAsia"/>
          <w:sz w:val="32"/>
          <w:szCs w:val="32"/>
        </w:rPr>
        <w:lastRenderedPageBreak/>
        <w:t>优化信息公开栏目。按照省、市、区统一要求，调整优化单位信息公开栏目设置，按照法定时限及时发布并实时更新法定主动公开内容，方便社会公众快速准确获取所需信息。二是强化政务新媒体运维。做好政府门户网站</w:t>
      </w:r>
      <w:r>
        <w:rPr>
          <w:rFonts w:ascii="仿宋_GB2312" w:eastAsia="仿宋_GB2312" w:hAnsi="仿宋_GB2312" w:cs="仿宋_GB2312" w:hint="eastAsia"/>
          <w:sz w:val="32"/>
          <w:szCs w:val="32"/>
        </w:rPr>
        <w:t>信息编辑和维护，严格内容审核把关，全年发布审计工作动态、审计项目实施情况等信息，未发生信息发布不实、造成不良影响的情况。</w:t>
      </w:r>
    </w:p>
    <w:p w:rsidR="001A0894" w:rsidRDefault="008F3723">
      <w:pPr>
        <w:ind w:firstLineChars="200" w:firstLine="420"/>
      </w:pPr>
      <w:r>
        <w:rPr>
          <w:noProof/>
        </w:rPr>
        <w:drawing>
          <wp:inline distT="0" distB="0" distL="114300" distR="114300">
            <wp:extent cx="5139690" cy="3677285"/>
            <wp:effectExtent l="0" t="0" r="3810"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139690" cy="3677285"/>
                    </a:xfrm>
                    <a:prstGeom prst="rect">
                      <a:avLst/>
                    </a:prstGeom>
                    <a:noFill/>
                    <a:ln>
                      <a:noFill/>
                    </a:ln>
                  </pic:spPr>
                </pic:pic>
              </a:graphicData>
            </a:graphic>
          </wp:inline>
        </w:drawing>
      </w:r>
    </w:p>
    <w:p w:rsidR="001A0894" w:rsidRDefault="008F372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（五）监督保障情况</w:t>
      </w: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夯实基础，加大政府信息公开监督保障力度。将政府信息公开工作纳入局内绩效管理考核，推动局属部门单位落实政府信息公开要求。按照区政府大数据局的统一部署要求，组织人员参加由区大数据局举办的各类政务公开和网站建设内容培训，开展日常一对一答疑辅导，进一步提升审计干部政务公开工作。、</w:t>
      </w:r>
    </w:p>
    <w:p w:rsidR="001A0894" w:rsidRDefault="008F372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1A0894">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1A0894" w:rsidRDefault="008F3723">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Calibri" w:cs="Calibri"/>
                <w:kern w:val="0"/>
                <w:szCs w:val="21"/>
              </w:rPr>
            </w:pPr>
            <w:r>
              <w:rPr>
                <w:rFonts w:ascii="仿宋_GB2312" w:eastAsia="仿宋_GB2312" w:hAnsi="宋体" w:cs="宋体" w:hint="eastAsia"/>
                <w:kern w:val="0"/>
                <w:szCs w:val="21"/>
              </w:rPr>
              <w:t>0</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1A0894">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1A0894" w:rsidRDefault="008F3723">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1A0894" w:rsidRDefault="008F3723">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r w:rsidR="001A0894">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1A0894" w:rsidRDefault="008F3723">
            <w:pPr>
              <w:widowControl/>
              <w:jc w:val="center"/>
              <w:rPr>
                <w:rFonts w:ascii="黑体" w:eastAsia="黑体" w:hAnsi="黑体" w:cs="宋体"/>
                <w:kern w:val="0"/>
                <w:szCs w:val="21"/>
              </w:rPr>
            </w:pPr>
            <w:r>
              <w:rPr>
                <w:rFonts w:ascii="黑体" w:eastAsia="黑体" w:hAnsi="黑体" w:cs="宋体" w:hint="eastAsia"/>
                <w:kern w:val="0"/>
                <w:szCs w:val="21"/>
              </w:rPr>
              <w:t>第二十条第（六）项</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1A0894" w:rsidRDefault="008F3723">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本年处理决定数量</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1A0894" w:rsidRDefault="008F3723">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1A0894" w:rsidRDefault="008F3723">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r w:rsidR="001A0894">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1A0894" w:rsidRDefault="008F3723">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1A0894" w:rsidRDefault="008F372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1A0894">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1A0894" w:rsidRDefault="008F3723">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1A0894" w:rsidRDefault="008F3723">
            <w:pPr>
              <w:widowControl/>
              <w:jc w:val="center"/>
              <w:rPr>
                <w:rFonts w:ascii="仿宋_GB2312" w:eastAsia="仿宋_GB2312" w:hAnsi="Calibri" w:cs="Calibri"/>
                <w:color w:val="000000"/>
                <w:kern w:val="0"/>
                <w:szCs w:val="21"/>
              </w:rPr>
            </w:pPr>
            <w:r>
              <w:rPr>
                <w:rFonts w:ascii="仿宋_GB2312" w:eastAsia="仿宋_GB2312" w:hAnsi="Calibri" w:cs="Calibri" w:hint="eastAsia"/>
                <w:kern w:val="0"/>
                <w:szCs w:val="21"/>
              </w:rPr>
              <w:t>0</w:t>
            </w:r>
          </w:p>
        </w:tc>
      </w:tr>
    </w:tbl>
    <w:p w:rsidR="001A0894" w:rsidRDefault="008F3723">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rsidR="001A0894" w:rsidRDefault="001A0894">
      <w:pPr>
        <w:spacing w:line="560" w:lineRule="exact"/>
        <w:rPr>
          <w:rFonts w:ascii="黑体" w:eastAsia="黑体" w:hAnsi="黑体" w:cs="黑体"/>
          <w:sz w:val="32"/>
          <w:szCs w:val="32"/>
        </w:rPr>
      </w:pPr>
    </w:p>
    <w:p w:rsidR="001A0894" w:rsidRDefault="001A0894">
      <w:pPr>
        <w:spacing w:line="560" w:lineRule="exact"/>
        <w:rPr>
          <w:rFonts w:ascii="黑体" w:eastAsia="黑体" w:hAnsi="黑体" w:cs="黑体"/>
          <w:sz w:val="32"/>
          <w:szCs w:val="32"/>
        </w:rPr>
      </w:pPr>
    </w:p>
    <w:p w:rsidR="001A0894" w:rsidRDefault="001A0894">
      <w:pPr>
        <w:spacing w:line="560" w:lineRule="exact"/>
        <w:rPr>
          <w:rFonts w:ascii="黑体" w:eastAsia="黑体" w:hAnsi="黑体" w:cs="黑体"/>
          <w:sz w:val="32"/>
          <w:szCs w:val="32"/>
        </w:rPr>
      </w:pPr>
    </w:p>
    <w:p w:rsidR="001A0894" w:rsidRDefault="001A0894">
      <w:pPr>
        <w:spacing w:line="560" w:lineRule="exact"/>
        <w:rPr>
          <w:rFonts w:ascii="黑体" w:eastAsia="黑体" w:hAnsi="黑体" w:cs="黑体"/>
          <w:sz w:val="32"/>
          <w:szCs w:val="32"/>
        </w:rPr>
      </w:pPr>
    </w:p>
    <w:p w:rsidR="001A0894" w:rsidRDefault="001A0894">
      <w:pPr>
        <w:spacing w:line="560" w:lineRule="exact"/>
        <w:rPr>
          <w:rFonts w:ascii="黑体" w:eastAsia="黑体" w:hAnsi="黑体" w:cs="黑体"/>
          <w:sz w:val="32"/>
          <w:szCs w:val="32"/>
        </w:rPr>
      </w:pPr>
    </w:p>
    <w:p w:rsidR="001A0894" w:rsidRDefault="001A0894">
      <w:pPr>
        <w:spacing w:line="560" w:lineRule="exact"/>
        <w:rPr>
          <w:rFonts w:ascii="黑体" w:eastAsia="黑体" w:hAnsi="黑体" w:cs="黑体"/>
          <w:sz w:val="32"/>
          <w:szCs w:val="32"/>
        </w:rPr>
      </w:pPr>
    </w:p>
    <w:p w:rsidR="001A0894" w:rsidRDefault="001A0894">
      <w:pPr>
        <w:spacing w:line="560" w:lineRule="exact"/>
        <w:rPr>
          <w:rFonts w:ascii="黑体" w:eastAsia="黑体" w:hAnsi="黑体" w:cs="黑体"/>
          <w:sz w:val="32"/>
          <w:szCs w:val="32"/>
        </w:rPr>
      </w:pP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1A0894">
        <w:trPr>
          <w:trHeight w:val="328"/>
          <w:jc w:val="center"/>
        </w:trPr>
        <w:tc>
          <w:tcPr>
            <w:tcW w:w="5087" w:type="dxa"/>
            <w:gridSpan w:val="3"/>
            <w:vMerge w:val="restart"/>
            <w:shd w:val="clear" w:color="auto" w:fill="auto"/>
            <w:tcMar>
              <w:left w:w="108" w:type="dxa"/>
              <w:right w:w="108" w:type="dxa"/>
            </w:tcMar>
            <w:vAlign w:val="center"/>
          </w:tcPr>
          <w:p w:rsidR="001A0894" w:rsidRDefault="008F3723">
            <w:pPr>
              <w:widowControl/>
              <w:jc w:val="center"/>
              <w:rPr>
                <w:rFonts w:ascii="楷体_GB2312" w:eastAsia="楷体_GB2312" w:hAnsi="黑体"/>
                <w:kern w:val="0"/>
                <w:szCs w:val="21"/>
              </w:rPr>
            </w:pPr>
            <w:r>
              <w:rPr>
                <w:rFonts w:ascii="楷体_GB2312" w:eastAsia="楷体_GB2312" w:hAnsi="黑体" w:hint="eastAsia"/>
                <w:kern w:val="0"/>
                <w:szCs w:val="21"/>
              </w:rPr>
              <w:t>（本列数据的勾稽关系为：第一项加第二项之和，</w:t>
            </w:r>
          </w:p>
          <w:p w:rsidR="001A0894" w:rsidRDefault="008F3723">
            <w:pPr>
              <w:widowControl/>
              <w:jc w:val="center"/>
              <w:rPr>
                <w:rFonts w:ascii="仿宋_GB2312" w:eastAsia="仿宋_GB2312"/>
                <w:szCs w:val="21"/>
              </w:rPr>
            </w:pPr>
            <w:r>
              <w:rPr>
                <w:rFonts w:ascii="楷体_GB2312" w:eastAsia="楷体_GB2312" w:hAnsi="黑体" w:hint="eastAsia"/>
                <w:kern w:val="0"/>
                <w:szCs w:val="21"/>
              </w:rPr>
              <w:t>等于第三项加第四项之和）</w:t>
            </w:r>
          </w:p>
        </w:tc>
        <w:tc>
          <w:tcPr>
            <w:tcW w:w="4454" w:type="dxa"/>
            <w:gridSpan w:val="7"/>
            <w:shd w:val="clear" w:color="auto" w:fill="auto"/>
            <w:tcMar>
              <w:left w:w="108" w:type="dxa"/>
              <w:right w:w="108" w:type="dxa"/>
            </w:tcMar>
            <w:vAlign w:val="center"/>
          </w:tcPr>
          <w:p w:rsidR="001A0894" w:rsidRDefault="008F3723">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1A0894">
        <w:trPr>
          <w:trHeight w:val="425"/>
          <w:jc w:val="center"/>
        </w:trPr>
        <w:tc>
          <w:tcPr>
            <w:tcW w:w="5087" w:type="dxa"/>
            <w:gridSpan w:val="3"/>
            <w:vMerge/>
            <w:shd w:val="clear" w:color="auto" w:fill="auto"/>
            <w:tcMar>
              <w:left w:w="108" w:type="dxa"/>
              <w:right w:w="108" w:type="dxa"/>
            </w:tcMar>
            <w:vAlign w:val="center"/>
          </w:tcPr>
          <w:p w:rsidR="001A0894" w:rsidRDefault="001A0894">
            <w:pPr>
              <w:jc w:val="center"/>
              <w:rPr>
                <w:rFonts w:ascii="仿宋_GB2312" w:eastAsia="仿宋_GB2312"/>
                <w:szCs w:val="21"/>
              </w:rPr>
            </w:pPr>
          </w:p>
        </w:tc>
        <w:tc>
          <w:tcPr>
            <w:tcW w:w="752" w:type="dxa"/>
            <w:vMerge w:val="restart"/>
            <w:shd w:val="clear" w:color="auto" w:fill="auto"/>
            <w:tcMar>
              <w:left w:w="108" w:type="dxa"/>
              <w:right w:w="108" w:type="dxa"/>
            </w:tcMar>
            <w:vAlign w:val="center"/>
          </w:tcPr>
          <w:p w:rsidR="001A0894" w:rsidRDefault="008F3723">
            <w:pPr>
              <w:widowControl/>
              <w:jc w:val="center"/>
              <w:rPr>
                <w:rFonts w:ascii="黑体" w:eastAsia="黑体" w:hAnsi="黑体"/>
                <w:szCs w:val="21"/>
              </w:rPr>
            </w:pPr>
            <w:r>
              <w:rPr>
                <w:rFonts w:ascii="黑体" w:eastAsia="黑体" w:hAnsi="黑体" w:hint="eastAsia"/>
                <w:kern w:val="0"/>
                <w:szCs w:val="21"/>
              </w:rPr>
              <w:t>自然人</w:t>
            </w:r>
          </w:p>
        </w:tc>
        <w:tc>
          <w:tcPr>
            <w:tcW w:w="3001" w:type="dxa"/>
            <w:gridSpan w:val="5"/>
            <w:shd w:val="clear" w:color="auto" w:fill="auto"/>
            <w:tcMar>
              <w:left w:w="108" w:type="dxa"/>
              <w:right w:w="108" w:type="dxa"/>
            </w:tcMar>
            <w:vAlign w:val="center"/>
          </w:tcPr>
          <w:p w:rsidR="001A0894" w:rsidRDefault="008F3723">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701" w:type="dxa"/>
            <w:vMerge w:val="restart"/>
            <w:shd w:val="clear" w:color="auto" w:fill="auto"/>
            <w:tcMar>
              <w:left w:w="108" w:type="dxa"/>
              <w:right w:w="108" w:type="dxa"/>
            </w:tcMar>
            <w:vAlign w:val="center"/>
          </w:tcPr>
          <w:p w:rsidR="001A0894" w:rsidRDefault="008F3723">
            <w:pPr>
              <w:widowControl/>
              <w:jc w:val="center"/>
              <w:rPr>
                <w:rFonts w:ascii="黑体" w:eastAsia="黑体" w:hAnsi="黑体"/>
                <w:szCs w:val="21"/>
              </w:rPr>
            </w:pPr>
            <w:r>
              <w:rPr>
                <w:rFonts w:ascii="黑体" w:eastAsia="黑体" w:hAnsi="黑体" w:hint="eastAsia"/>
                <w:kern w:val="0"/>
                <w:szCs w:val="21"/>
              </w:rPr>
              <w:t>总计</w:t>
            </w:r>
          </w:p>
        </w:tc>
      </w:tr>
      <w:tr w:rsidR="001A0894">
        <w:trPr>
          <w:trHeight w:val="570"/>
          <w:jc w:val="center"/>
        </w:trPr>
        <w:tc>
          <w:tcPr>
            <w:tcW w:w="5087" w:type="dxa"/>
            <w:gridSpan w:val="3"/>
            <w:vMerge/>
            <w:shd w:val="clear" w:color="auto" w:fill="auto"/>
            <w:tcMar>
              <w:left w:w="108" w:type="dxa"/>
              <w:right w:w="108" w:type="dxa"/>
            </w:tcMar>
            <w:vAlign w:val="center"/>
          </w:tcPr>
          <w:p w:rsidR="001A0894" w:rsidRDefault="001A0894">
            <w:pPr>
              <w:jc w:val="center"/>
              <w:rPr>
                <w:rFonts w:ascii="仿宋_GB2312" w:eastAsia="仿宋_GB2312"/>
                <w:szCs w:val="21"/>
              </w:rPr>
            </w:pPr>
          </w:p>
        </w:tc>
        <w:tc>
          <w:tcPr>
            <w:tcW w:w="752" w:type="dxa"/>
            <w:vMerge/>
            <w:shd w:val="clear" w:color="auto" w:fill="auto"/>
            <w:tcMar>
              <w:left w:w="108" w:type="dxa"/>
              <w:right w:w="108" w:type="dxa"/>
            </w:tcMar>
            <w:vAlign w:val="center"/>
          </w:tcPr>
          <w:p w:rsidR="001A0894" w:rsidRDefault="001A0894">
            <w:pPr>
              <w:jc w:val="center"/>
              <w:rPr>
                <w:rFonts w:ascii="黑体" w:eastAsia="黑体" w:hAnsi="黑体"/>
                <w:szCs w:val="21"/>
              </w:rPr>
            </w:pPr>
          </w:p>
        </w:tc>
        <w:tc>
          <w:tcPr>
            <w:tcW w:w="540" w:type="dxa"/>
            <w:shd w:val="clear" w:color="auto" w:fill="auto"/>
            <w:tcMar>
              <w:left w:w="108" w:type="dxa"/>
              <w:right w:w="108" w:type="dxa"/>
            </w:tcMar>
            <w:vAlign w:val="center"/>
          </w:tcPr>
          <w:p w:rsidR="001A0894" w:rsidRDefault="008F3723">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40" w:type="dxa"/>
            <w:shd w:val="clear" w:color="auto" w:fill="auto"/>
            <w:tcMar>
              <w:left w:w="108" w:type="dxa"/>
              <w:right w:w="108" w:type="dxa"/>
            </w:tcMar>
            <w:vAlign w:val="center"/>
          </w:tcPr>
          <w:p w:rsidR="001A0894" w:rsidRDefault="008F3723">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720" w:type="dxa"/>
            <w:shd w:val="clear" w:color="auto" w:fill="auto"/>
            <w:tcMar>
              <w:left w:w="108" w:type="dxa"/>
              <w:right w:w="108" w:type="dxa"/>
            </w:tcMar>
            <w:vAlign w:val="center"/>
          </w:tcPr>
          <w:p w:rsidR="001A0894" w:rsidRDefault="008F3723">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675" w:type="dxa"/>
            <w:shd w:val="clear" w:color="auto" w:fill="auto"/>
            <w:tcMar>
              <w:left w:w="108" w:type="dxa"/>
              <w:right w:w="108" w:type="dxa"/>
            </w:tcMar>
            <w:vAlign w:val="center"/>
          </w:tcPr>
          <w:p w:rsidR="001A0894" w:rsidRDefault="008F3723">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26" w:type="dxa"/>
            <w:shd w:val="clear" w:color="auto" w:fill="auto"/>
            <w:tcMar>
              <w:left w:w="108" w:type="dxa"/>
              <w:right w:w="108" w:type="dxa"/>
            </w:tcMar>
            <w:vAlign w:val="center"/>
          </w:tcPr>
          <w:p w:rsidR="001A0894" w:rsidRDefault="008F3723">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701" w:type="dxa"/>
            <w:vMerge/>
            <w:shd w:val="clear" w:color="auto" w:fill="auto"/>
            <w:tcMar>
              <w:left w:w="108" w:type="dxa"/>
              <w:right w:w="108" w:type="dxa"/>
            </w:tcMar>
            <w:vAlign w:val="center"/>
          </w:tcPr>
          <w:p w:rsidR="001A0894" w:rsidRDefault="001A0894">
            <w:pPr>
              <w:jc w:val="center"/>
              <w:rPr>
                <w:rFonts w:ascii="仿宋_GB2312" w:eastAsia="仿宋_GB2312"/>
                <w:szCs w:val="21"/>
              </w:rPr>
            </w:pPr>
          </w:p>
        </w:tc>
      </w:tr>
      <w:tr w:rsidR="001A0894">
        <w:trPr>
          <w:trHeight w:val="20"/>
          <w:jc w:val="center"/>
        </w:trPr>
        <w:tc>
          <w:tcPr>
            <w:tcW w:w="5087" w:type="dxa"/>
            <w:gridSpan w:val="3"/>
            <w:shd w:val="clear" w:color="auto" w:fill="auto"/>
            <w:tcMar>
              <w:left w:w="108" w:type="dxa"/>
              <w:right w:w="108" w:type="dxa"/>
            </w:tcMar>
            <w:vAlign w:val="center"/>
          </w:tcPr>
          <w:p w:rsidR="001A0894" w:rsidRDefault="008F3723">
            <w:pPr>
              <w:widowControl/>
              <w:rPr>
                <w:rFonts w:ascii="黑体" w:eastAsia="黑体" w:hAnsi="黑体"/>
                <w:szCs w:val="21"/>
              </w:rPr>
            </w:pPr>
            <w:r>
              <w:rPr>
                <w:rFonts w:ascii="黑体" w:eastAsia="黑体" w:hAnsi="黑体" w:hint="eastAsia"/>
                <w:kern w:val="0"/>
                <w:szCs w:val="21"/>
              </w:rPr>
              <w:t>一、</w:t>
            </w:r>
            <w:bookmarkStart w:id="1" w:name="_Hlk66973412"/>
            <w:r>
              <w:rPr>
                <w:rFonts w:ascii="黑体" w:eastAsia="黑体" w:hAnsi="黑体" w:hint="eastAsia"/>
                <w:kern w:val="0"/>
                <w:szCs w:val="21"/>
              </w:rPr>
              <w:t>本年新收政府信息公开申请数量</w:t>
            </w:r>
            <w:bookmarkEnd w:id="1"/>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val="20"/>
          <w:jc w:val="center"/>
        </w:trPr>
        <w:tc>
          <w:tcPr>
            <w:tcW w:w="5087" w:type="dxa"/>
            <w:gridSpan w:val="3"/>
            <w:shd w:val="clear" w:color="auto" w:fill="auto"/>
            <w:tcMar>
              <w:left w:w="108" w:type="dxa"/>
              <w:right w:w="108" w:type="dxa"/>
            </w:tcMar>
            <w:vAlign w:val="center"/>
          </w:tcPr>
          <w:p w:rsidR="001A0894" w:rsidRDefault="008F3723">
            <w:pPr>
              <w:widowControl/>
              <w:rPr>
                <w:rFonts w:ascii="黑体" w:eastAsia="黑体" w:hAnsi="黑体"/>
                <w:szCs w:val="21"/>
              </w:rPr>
            </w:pPr>
            <w:r>
              <w:rPr>
                <w:rFonts w:ascii="黑体" w:eastAsia="黑体" w:hAnsi="黑体" w:hint="eastAsia"/>
                <w:kern w:val="0"/>
                <w:szCs w:val="21"/>
              </w:rPr>
              <w:t>二、上年结转政府信息公开申请数量</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jc w:val="center"/>
        </w:trPr>
        <w:tc>
          <w:tcPr>
            <w:tcW w:w="415" w:type="dxa"/>
            <w:vMerge w:val="restart"/>
            <w:shd w:val="clear" w:color="auto" w:fill="auto"/>
            <w:tcMar>
              <w:left w:w="108" w:type="dxa"/>
              <w:right w:w="108" w:type="dxa"/>
            </w:tcMar>
            <w:vAlign w:val="center"/>
          </w:tcPr>
          <w:p w:rsidR="001A0894" w:rsidRDefault="008F3723">
            <w:pPr>
              <w:widowControl/>
              <w:spacing w:after="180"/>
              <w:rPr>
                <w:rFonts w:ascii="黑体" w:eastAsia="黑体" w:hAnsi="黑体"/>
                <w:szCs w:val="21"/>
              </w:rPr>
            </w:pPr>
            <w:r>
              <w:rPr>
                <w:rFonts w:ascii="黑体" w:eastAsia="黑体" w:hAnsi="黑体" w:hint="eastAsia"/>
                <w:kern w:val="0"/>
                <w:szCs w:val="21"/>
              </w:rPr>
              <w:t>三、本年度办理结果</w:t>
            </w:r>
          </w:p>
        </w:tc>
        <w:tc>
          <w:tcPr>
            <w:tcW w:w="4672" w:type="dxa"/>
            <w:gridSpan w:val="2"/>
            <w:shd w:val="clear" w:color="auto" w:fill="auto"/>
            <w:tcMar>
              <w:left w:w="108" w:type="dxa"/>
              <w:right w:w="108" w:type="dxa"/>
            </w:tcMar>
            <w:vAlign w:val="center"/>
          </w:tcPr>
          <w:p w:rsidR="001A0894" w:rsidRDefault="008F3723">
            <w:pPr>
              <w:widowControl/>
              <w:rPr>
                <w:rFonts w:ascii="黑体" w:eastAsia="黑体" w:hAnsi="黑体"/>
                <w:szCs w:val="21"/>
              </w:rPr>
            </w:pPr>
            <w:r>
              <w:rPr>
                <w:rFonts w:ascii="黑体" w:eastAsia="黑体" w:hAnsi="黑体" w:hint="eastAsia"/>
                <w:kern w:val="0"/>
                <w:szCs w:val="21"/>
              </w:rPr>
              <w:t>（一）予以公开</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4672" w:type="dxa"/>
            <w:gridSpan w:val="2"/>
            <w:shd w:val="clear" w:color="auto" w:fill="auto"/>
            <w:tcMar>
              <w:left w:w="108" w:type="dxa"/>
              <w:right w:w="108" w:type="dxa"/>
            </w:tcMar>
            <w:vAlign w:val="center"/>
          </w:tcPr>
          <w:p w:rsidR="001A0894" w:rsidRDefault="008F3723">
            <w:pPr>
              <w:widowControl/>
              <w:rPr>
                <w:rFonts w:ascii="黑体" w:eastAsia="黑体" w:hAnsi="黑体"/>
                <w:szCs w:val="21"/>
              </w:rPr>
            </w:pPr>
            <w:r>
              <w:rPr>
                <w:rFonts w:ascii="黑体" w:eastAsia="黑体" w:hAnsi="黑体" w:hint="eastAsia"/>
                <w:kern w:val="0"/>
                <w:szCs w:val="21"/>
              </w:rPr>
              <w:t>（二）部分公开（</w:t>
            </w:r>
            <w:bookmarkStart w:id="2" w:name="_Hlk66973981"/>
            <w:r>
              <w:rPr>
                <w:rFonts w:ascii="黑体" w:eastAsia="黑体" w:hAnsi="黑体" w:hint="eastAsia"/>
                <w:kern w:val="0"/>
                <w:szCs w:val="21"/>
              </w:rPr>
              <w:t>区分处理的，只计这一情形，不计其他情形</w:t>
            </w:r>
            <w:bookmarkEnd w:id="2"/>
            <w:r>
              <w:rPr>
                <w:rFonts w:ascii="黑体" w:eastAsia="黑体" w:hAnsi="黑体" w:hint="eastAsia"/>
                <w:kern w:val="0"/>
                <w:szCs w:val="21"/>
              </w:rPr>
              <w:t>）</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val="restart"/>
            <w:shd w:val="clear" w:color="auto" w:fill="auto"/>
            <w:tcMar>
              <w:left w:w="108" w:type="dxa"/>
              <w:right w:w="108" w:type="dxa"/>
            </w:tcMar>
            <w:vAlign w:val="center"/>
          </w:tcPr>
          <w:p w:rsidR="001A0894" w:rsidRDefault="008F3723">
            <w:pPr>
              <w:widowControl/>
              <w:spacing w:line="200" w:lineRule="exact"/>
              <w:ind w:leftChars="-51" w:left="-107"/>
              <w:rPr>
                <w:rFonts w:ascii="黑体" w:eastAsia="黑体" w:hAnsi="黑体"/>
                <w:szCs w:val="21"/>
              </w:rPr>
            </w:pPr>
            <w:r>
              <w:rPr>
                <w:rFonts w:ascii="黑体" w:eastAsia="黑体" w:hAnsi="黑体" w:hint="eastAsia"/>
                <w:kern w:val="0"/>
                <w:szCs w:val="21"/>
              </w:rPr>
              <w:t>（三）不予公开</w:t>
            </w: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属于国家秘密</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3" w:name="_Hlk66974104"/>
            <w:r>
              <w:rPr>
                <w:rFonts w:ascii="仿宋_GB2312" w:eastAsia="仿宋_GB2312" w:hAnsi="黑体" w:hint="eastAsia"/>
                <w:kern w:val="0"/>
                <w:szCs w:val="21"/>
              </w:rPr>
              <w:t>其他法律行政法规禁止公开</w:t>
            </w:r>
            <w:bookmarkEnd w:id="3"/>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r>
              <w:rPr>
                <w:rFonts w:ascii="仿宋_GB2312" w:eastAsia="仿宋_GB2312" w:hAnsi="黑体" w:hint="eastAsia"/>
                <w:kern w:val="0"/>
                <w:szCs w:val="21"/>
              </w:rPr>
              <w:t>危及“三安全一稳定”</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bookmarkStart w:id="4" w:name="_Hlk66974290"/>
            <w:r>
              <w:rPr>
                <w:rFonts w:ascii="仿宋_GB2312" w:eastAsia="仿宋_GB2312" w:hAnsi="黑体" w:hint="eastAsia"/>
                <w:kern w:val="0"/>
                <w:szCs w:val="21"/>
              </w:rPr>
              <w:t>保护第三方合法权益</w:t>
            </w:r>
            <w:bookmarkEnd w:id="4"/>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5.</w:t>
            </w:r>
            <w:r>
              <w:rPr>
                <w:rFonts w:ascii="仿宋_GB2312" w:eastAsia="仿宋_GB2312" w:hAnsi="黑体" w:hint="eastAsia"/>
                <w:kern w:val="0"/>
                <w:szCs w:val="21"/>
              </w:rPr>
              <w:t>属于三类内部事务信息</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bookmarkStart w:id="5" w:name="_Hlk66974555"/>
            <w:r>
              <w:rPr>
                <w:rFonts w:ascii="仿宋_GB2312" w:eastAsia="仿宋_GB2312" w:hAnsi="黑体" w:hint="eastAsia"/>
                <w:kern w:val="0"/>
                <w:szCs w:val="21"/>
              </w:rPr>
              <w:t>属于四类过程性信息</w:t>
            </w:r>
            <w:bookmarkEnd w:id="5"/>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7.</w:t>
            </w:r>
            <w:r>
              <w:rPr>
                <w:rFonts w:ascii="仿宋_GB2312" w:eastAsia="仿宋_GB2312" w:hAnsi="黑体" w:hint="eastAsia"/>
                <w:kern w:val="0"/>
                <w:szCs w:val="21"/>
              </w:rPr>
              <w:t>属于行政执法案卷</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bookmarkStart w:id="6" w:name="_Hlk66975211"/>
            <w:r>
              <w:rPr>
                <w:rFonts w:ascii="仿宋_GB2312" w:eastAsia="仿宋_GB2312" w:hAnsi="黑体" w:hint="eastAsia"/>
                <w:kern w:val="0"/>
                <w:szCs w:val="21"/>
              </w:rPr>
              <w:t>属于行政查询事项</w:t>
            </w:r>
            <w:bookmarkEnd w:id="6"/>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val="restart"/>
            <w:shd w:val="clear" w:color="auto" w:fill="auto"/>
            <w:tcMar>
              <w:left w:w="108" w:type="dxa"/>
              <w:right w:w="108" w:type="dxa"/>
            </w:tcMar>
            <w:vAlign w:val="center"/>
          </w:tcPr>
          <w:p w:rsidR="001A0894" w:rsidRDefault="008F3723">
            <w:pPr>
              <w:widowControl/>
              <w:spacing w:line="200" w:lineRule="exact"/>
              <w:ind w:leftChars="-51" w:left="-107"/>
              <w:rPr>
                <w:rFonts w:ascii="黑体" w:eastAsia="黑体" w:hAnsi="黑体"/>
                <w:szCs w:val="21"/>
              </w:rPr>
            </w:pPr>
            <w:r>
              <w:rPr>
                <w:rFonts w:ascii="黑体" w:eastAsia="黑体" w:hAnsi="黑体" w:hint="eastAsia"/>
                <w:kern w:val="0"/>
                <w:szCs w:val="21"/>
              </w:rPr>
              <w:t>（四）无法提供</w:t>
            </w: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本机关不掌握相关政府信息</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ind w:leftChars="-51" w:left="-107"/>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7" w:name="_Hlk66975392"/>
            <w:r>
              <w:rPr>
                <w:rFonts w:ascii="仿宋_GB2312" w:eastAsia="仿宋_GB2312" w:hAnsi="黑体" w:hint="eastAsia"/>
                <w:kern w:val="0"/>
                <w:szCs w:val="21"/>
              </w:rPr>
              <w:t>没有现成信息需要另行制作</w:t>
            </w:r>
            <w:bookmarkEnd w:id="7"/>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ind w:leftChars="-51" w:left="-107"/>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bookmarkStart w:id="8" w:name="_Hlk66975466"/>
            <w:r>
              <w:rPr>
                <w:rFonts w:ascii="仿宋_GB2312" w:eastAsia="仿宋_GB2312" w:hAnsi="黑体" w:hint="eastAsia"/>
                <w:kern w:val="0"/>
                <w:szCs w:val="21"/>
              </w:rPr>
              <w:t>补正后申请内容仍不明确</w:t>
            </w:r>
            <w:bookmarkEnd w:id="8"/>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val="restart"/>
            <w:shd w:val="clear" w:color="auto" w:fill="auto"/>
            <w:tcMar>
              <w:left w:w="108" w:type="dxa"/>
              <w:right w:w="108" w:type="dxa"/>
            </w:tcMar>
            <w:vAlign w:val="center"/>
          </w:tcPr>
          <w:p w:rsidR="001A0894" w:rsidRDefault="008F3723">
            <w:pPr>
              <w:widowControl/>
              <w:spacing w:line="200" w:lineRule="exact"/>
              <w:ind w:leftChars="-51" w:left="-107"/>
              <w:rPr>
                <w:rFonts w:ascii="黑体" w:eastAsia="黑体" w:hAnsi="黑体"/>
                <w:szCs w:val="21"/>
              </w:rPr>
            </w:pPr>
            <w:r>
              <w:rPr>
                <w:rFonts w:ascii="黑体" w:eastAsia="黑体" w:hAnsi="黑体" w:hint="eastAsia"/>
                <w:kern w:val="0"/>
                <w:szCs w:val="21"/>
              </w:rPr>
              <w:t>（五）不予处理</w:t>
            </w: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bookmarkStart w:id="9" w:name="_Hlk66975537"/>
            <w:r>
              <w:rPr>
                <w:rFonts w:ascii="仿宋_GB2312" w:eastAsia="仿宋_GB2312" w:hAnsi="黑体" w:hint="eastAsia"/>
                <w:kern w:val="0"/>
                <w:szCs w:val="21"/>
              </w:rPr>
              <w:t>信访举报投诉类申请</w:t>
            </w:r>
            <w:bookmarkEnd w:id="9"/>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454"/>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r>
              <w:rPr>
                <w:rFonts w:ascii="仿宋_GB2312" w:eastAsia="仿宋_GB2312" w:hAnsi="黑体" w:hint="eastAsia"/>
                <w:kern w:val="0"/>
                <w:szCs w:val="21"/>
              </w:rPr>
              <w:t>重复申请</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389"/>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szCs w:val="21"/>
              </w:rPr>
            </w:pPr>
            <w:r>
              <w:rPr>
                <w:rFonts w:ascii="仿宋_GB2312" w:eastAsia="仿宋_GB2312" w:hAnsi="黑体" w:hint="eastAsia"/>
                <w:kern w:val="0"/>
                <w:szCs w:val="21"/>
              </w:rPr>
              <w:t>3.</w:t>
            </w:r>
            <w:r>
              <w:rPr>
                <w:rFonts w:ascii="仿宋_GB2312" w:eastAsia="仿宋_GB2312" w:hAnsi="黑体" w:hint="eastAsia"/>
                <w:kern w:val="0"/>
                <w:szCs w:val="21"/>
              </w:rPr>
              <w:t>要求提供公开出版物</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hRule="exact" w:val="397"/>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200" w:lineRule="exact"/>
              <w:rPr>
                <w:rFonts w:ascii="仿宋_GB2312" w:eastAsia="仿宋_GB2312" w:hAnsi="黑体"/>
                <w:szCs w:val="21"/>
              </w:rPr>
            </w:pPr>
            <w:r>
              <w:rPr>
                <w:rFonts w:ascii="仿宋_GB2312" w:eastAsia="仿宋_GB2312" w:hAnsi="黑体" w:hint="eastAsia"/>
                <w:kern w:val="0"/>
                <w:szCs w:val="21"/>
              </w:rPr>
              <w:t>4.</w:t>
            </w:r>
            <w:r>
              <w:rPr>
                <w:rFonts w:ascii="仿宋_GB2312" w:eastAsia="仿宋_GB2312" w:hAnsi="黑体" w:hint="eastAsia"/>
                <w:kern w:val="0"/>
                <w:szCs w:val="21"/>
              </w:rPr>
              <w:t>无正当理由大量反复申请</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1A0894" w:rsidRDefault="008F3723">
            <w:pPr>
              <w:widowControl/>
              <w:spacing w:line="300" w:lineRule="exact"/>
              <w:rPr>
                <w:rFonts w:ascii="仿宋_GB2312" w:eastAsia="仿宋_GB2312" w:hAnsi="黑体"/>
                <w:kern w:val="0"/>
                <w:szCs w:val="21"/>
              </w:rPr>
            </w:pPr>
            <w:r>
              <w:rPr>
                <w:rFonts w:ascii="仿宋_GB2312" w:eastAsia="仿宋_GB2312" w:hAnsi="黑体" w:hint="eastAsia"/>
                <w:kern w:val="0"/>
                <w:szCs w:val="21"/>
              </w:rPr>
              <w:t>5.</w:t>
            </w:r>
            <w:r>
              <w:rPr>
                <w:rFonts w:ascii="仿宋_GB2312" w:eastAsia="仿宋_GB2312" w:hAnsi="黑体" w:hint="eastAsia"/>
                <w:kern w:val="0"/>
                <w:szCs w:val="21"/>
              </w:rPr>
              <w:t>要求行政机关确认或重新</w:t>
            </w:r>
          </w:p>
          <w:p w:rsidR="001A0894" w:rsidRDefault="008F3723">
            <w:pPr>
              <w:widowControl/>
              <w:spacing w:line="300" w:lineRule="exact"/>
              <w:ind w:firstLineChars="100" w:firstLine="210"/>
              <w:rPr>
                <w:rFonts w:ascii="仿宋_GB2312" w:eastAsia="仿宋_GB2312" w:hAnsi="黑体"/>
                <w:szCs w:val="21"/>
              </w:rPr>
            </w:pPr>
            <w:r>
              <w:rPr>
                <w:rFonts w:ascii="仿宋_GB2312" w:eastAsia="仿宋_GB2312" w:hAnsi="黑体" w:hint="eastAsia"/>
                <w:kern w:val="0"/>
                <w:szCs w:val="21"/>
              </w:rPr>
              <w:t>出具已获取信息</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val="restart"/>
            <w:shd w:val="clear" w:color="auto" w:fill="auto"/>
            <w:tcMar>
              <w:left w:w="108" w:type="dxa"/>
              <w:right w:w="108" w:type="dxa"/>
            </w:tcMar>
            <w:vAlign w:val="center"/>
          </w:tcPr>
          <w:p w:rsidR="001A0894" w:rsidRDefault="008F3723">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2973" w:type="dxa"/>
            <w:shd w:val="clear" w:color="auto" w:fill="auto"/>
            <w:vAlign w:val="center"/>
          </w:tcPr>
          <w:p w:rsidR="001A0894" w:rsidRDefault="008F3723">
            <w:pPr>
              <w:widowControl/>
              <w:spacing w:line="300" w:lineRule="exact"/>
              <w:rPr>
                <w:rFonts w:ascii="仿宋_GB2312" w:eastAsia="仿宋_GB2312" w:hAnsi="楷体"/>
              </w:rPr>
            </w:pPr>
            <w:r>
              <w:rPr>
                <w:rFonts w:ascii="仿宋_GB2312" w:eastAsia="仿宋_GB2312" w:hAnsi="楷体" w:hint="eastAsia"/>
              </w:rPr>
              <w:t>1.</w:t>
            </w:r>
            <w:r>
              <w:rPr>
                <w:rFonts w:ascii="仿宋_GB2312" w:eastAsia="仿宋_GB2312" w:hAnsi="楷体" w:hint="eastAsia"/>
              </w:rPr>
              <w:t>申请人无正当理由逾期不补正、行政机关不再处理其政府信息公开申请</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widowControl/>
              <w:spacing w:line="300" w:lineRule="exact"/>
              <w:rPr>
                <w:rFonts w:ascii="黑体" w:eastAsia="黑体" w:hAnsi="黑体"/>
                <w:kern w:val="0"/>
                <w:szCs w:val="21"/>
              </w:rPr>
            </w:pPr>
          </w:p>
        </w:tc>
        <w:tc>
          <w:tcPr>
            <w:tcW w:w="2973" w:type="dxa"/>
            <w:shd w:val="clear" w:color="auto" w:fill="auto"/>
            <w:vAlign w:val="center"/>
          </w:tcPr>
          <w:p w:rsidR="001A0894" w:rsidRDefault="008F3723">
            <w:pPr>
              <w:widowControl/>
              <w:spacing w:line="300" w:lineRule="exact"/>
              <w:rPr>
                <w:rFonts w:ascii="仿宋_GB2312" w:eastAsia="仿宋_GB2312" w:hAnsi="黑体"/>
                <w:kern w:val="0"/>
                <w:szCs w:val="21"/>
              </w:rPr>
            </w:pPr>
            <w:r>
              <w:rPr>
                <w:rFonts w:ascii="仿宋_GB2312" w:eastAsia="仿宋_GB2312" w:hAnsi="楷体" w:hint="eastAsia"/>
              </w:rPr>
              <w:t>2.</w:t>
            </w:r>
            <w:r>
              <w:rPr>
                <w:rFonts w:ascii="仿宋_GB2312" w:eastAsia="仿宋_GB2312" w:hAnsi="楷体" w:hint="eastAsia"/>
              </w:rPr>
              <w:t>申请人逾期未按收费通知要求缴纳费用、行政机关不再处理其政府信息公开申请</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trHeight w:val="260"/>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1699" w:type="dxa"/>
            <w:vMerge/>
            <w:shd w:val="clear" w:color="auto" w:fill="auto"/>
            <w:tcMar>
              <w:left w:w="108" w:type="dxa"/>
              <w:right w:w="108" w:type="dxa"/>
            </w:tcMar>
            <w:vAlign w:val="center"/>
          </w:tcPr>
          <w:p w:rsidR="001A0894" w:rsidRDefault="001A0894">
            <w:pPr>
              <w:widowControl/>
              <w:spacing w:line="300" w:lineRule="exact"/>
              <w:rPr>
                <w:rFonts w:ascii="黑体" w:eastAsia="黑体" w:hAnsi="黑体"/>
                <w:kern w:val="0"/>
                <w:szCs w:val="21"/>
              </w:rPr>
            </w:pPr>
          </w:p>
        </w:tc>
        <w:tc>
          <w:tcPr>
            <w:tcW w:w="2973" w:type="dxa"/>
            <w:shd w:val="clear" w:color="auto" w:fill="auto"/>
            <w:vAlign w:val="center"/>
          </w:tcPr>
          <w:p w:rsidR="001A0894" w:rsidRDefault="008F3723">
            <w:pPr>
              <w:widowControl/>
              <w:spacing w:line="300" w:lineRule="exact"/>
              <w:rPr>
                <w:rFonts w:ascii="仿宋_GB2312" w:eastAsia="仿宋_GB2312" w:hAnsi="黑体"/>
                <w:kern w:val="0"/>
                <w:szCs w:val="21"/>
              </w:rPr>
            </w:pPr>
            <w:r>
              <w:rPr>
                <w:rFonts w:ascii="仿宋_GB2312" w:eastAsia="仿宋_GB2312" w:hAnsi="楷体" w:hint="eastAsia"/>
              </w:rPr>
              <w:t>3.</w:t>
            </w:r>
            <w:r>
              <w:rPr>
                <w:rFonts w:ascii="仿宋_GB2312" w:eastAsia="仿宋_GB2312" w:hAnsi="楷体" w:hint="eastAsia"/>
              </w:rPr>
              <w:t>其他</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jc w:val="center"/>
        </w:trPr>
        <w:tc>
          <w:tcPr>
            <w:tcW w:w="415" w:type="dxa"/>
            <w:vMerge/>
            <w:shd w:val="clear" w:color="auto" w:fill="auto"/>
            <w:tcMar>
              <w:left w:w="108" w:type="dxa"/>
              <w:right w:w="108" w:type="dxa"/>
            </w:tcMar>
            <w:vAlign w:val="center"/>
          </w:tcPr>
          <w:p w:rsidR="001A0894" w:rsidRDefault="001A0894">
            <w:pPr>
              <w:rPr>
                <w:rFonts w:ascii="黑体" w:eastAsia="黑体" w:hAnsi="黑体"/>
                <w:szCs w:val="21"/>
              </w:rPr>
            </w:pPr>
          </w:p>
        </w:tc>
        <w:tc>
          <w:tcPr>
            <w:tcW w:w="4672" w:type="dxa"/>
            <w:gridSpan w:val="2"/>
            <w:shd w:val="clear" w:color="auto" w:fill="auto"/>
            <w:tcMar>
              <w:left w:w="108" w:type="dxa"/>
              <w:right w:w="108" w:type="dxa"/>
            </w:tcMar>
            <w:vAlign w:val="center"/>
          </w:tcPr>
          <w:p w:rsidR="001A0894" w:rsidRDefault="008F3723">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r w:rsidR="001A0894">
        <w:trPr>
          <w:jc w:val="center"/>
        </w:trPr>
        <w:tc>
          <w:tcPr>
            <w:tcW w:w="5087" w:type="dxa"/>
            <w:gridSpan w:val="3"/>
            <w:shd w:val="clear" w:color="auto" w:fill="auto"/>
            <w:tcMar>
              <w:left w:w="108" w:type="dxa"/>
              <w:right w:w="108" w:type="dxa"/>
            </w:tcMar>
            <w:vAlign w:val="center"/>
          </w:tcPr>
          <w:p w:rsidR="001A0894" w:rsidRDefault="008F3723">
            <w:pPr>
              <w:widowControl/>
              <w:spacing w:line="300" w:lineRule="exact"/>
              <w:rPr>
                <w:rFonts w:ascii="黑体" w:eastAsia="黑体" w:hAnsi="黑体"/>
                <w:kern w:val="0"/>
                <w:szCs w:val="21"/>
              </w:rPr>
            </w:pPr>
            <w:r>
              <w:rPr>
                <w:rFonts w:ascii="黑体" w:eastAsia="黑体" w:hAnsi="黑体" w:hint="eastAsia"/>
                <w:kern w:val="0"/>
                <w:szCs w:val="21"/>
              </w:rPr>
              <w:lastRenderedPageBreak/>
              <w:t>四、结转下年度继续办理</w:t>
            </w:r>
          </w:p>
        </w:tc>
        <w:tc>
          <w:tcPr>
            <w:tcW w:w="752"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1A0894" w:rsidRDefault="008F3723">
            <w:pPr>
              <w:widowControl/>
              <w:spacing w:line="240" w:lineRule="exact"/>
              <w:jc w:val="center"/>
              <w:rPr>
                <w:rFonts w:ascii="仿宋_GB2312" w:eastAsia="仿宋_GB2312"/>
                <w:szCs w:val="21"/>
              </w:rPr>
            </w:pPr>
            <w:r>
              <w:rPr>
                <w:rFonts w:ascii="仿宋_GB2312" w:eastAsia="仿宋_GB2312" w:hint="eastAsia"/>
                <w:szCs w:val="21"/>
              </w:rPr>
              <w:t>0</w:t>
            </w:r>
          </w:p>
        </w:tc>
      </w:tr>
    </w:tbl>
    <w:p w:rsidR="001A0894" w:rsidRDefault="008F372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1A0894">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A0894" w:rsidRDefault="008F3723">
            <w:pPr>
              <w:widowControl/>
              <w:jc w:val="center"/>
              <w:rPr>
                <w:rFonts w:ascii="黑体" w:eastAsia="黑体" w:hAnsi="黑体"/>
              </w:rPr>
            </w:pPr>
            <w:r>
              <w:rPr>
                <w:rFonts w:ascii="黑体" w:eastAsia="黑体" w:hAnsi="黑体"/>
                <w:kern w:val="0"/>
                <w:sz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jc w:val="center"/>
              <w:rPr>
                <w:rFonts w:ascii="黑体" w:eastAsia="黑体" w:hAnsi="黑体"/>
              </w:rPr>
            </w:pPr>
            <w:r>
              <w:rPr>
                <w:rFonts w:ascii="黑体" w:eastAsia="黑体" w:hAnsi="黑体"/>
                <w:kern w:val="0"/>
                <w:sz w:val="20"/>
              </w:rPr>
              <w:t>行政诉讼</w:t>
            </w:r>
          </w:p>
        </w:tc>
      </w:tr>
      <w:tr w:rsidR="001A0894">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71" w:left="-149" w:rightChars="-81" w:right="-170"/>
              <w:jc w:val="center"/>
              <w:rPr>
                <w:rFonts w:ascii="黑体" w:eastAsia="黑体" w:hAnsi="黑体"/>
                <w:kern w:val="0"/>
                <w:sz w:val="20"/>
              </w:rPr>
            </w:pPr>
            <w:r>
              <w:rPr>
                <w:rFonts w:ascii="黑体" w:eastAsia="黑体" w:hAnsi="黑体"/>
                <w:kern w:val="0"/>
                <w:sz w:val="20"/>
              </w:rPr>
              <w:t>结果</w:t>
            </w:r>
          </w:p>
          <w:p w:rsidR="001A0894" w:rsidRDefault="008F3723">
            <w:pPr>
              <w:widowControl/>
              <w:ind w:leftChars="-71" w:left="-149" w:rightChars="-81" w:right="-170"/>
              <w:jc w:val="center"/>
              <w:rPr>
                <w:rFonts w:ascii="黑体" w:eastAsia="黑体" w:hAnsi="黑体"/>
              </w:rPr>
            </w:pPr>
            <w:r>
              <w:rPr>
                <w:rFonts w:ascii="黑体" w:eastAsia="黑体" w:hAnsi="黑体"/>
                <w:kern w:val="0"/>
                <w:sz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21" w:left="-43" w:rightChars="-63" w:right="-132" w:hanging="1"/>
              <w:jc w:val="center"/>
              <w:rPr>
                <w:rFonts w:ascii="黑体" w:eastAsia="黑体" w:hAnsi="黑体"/>
              </w:rPr>
            </w:pPr>
            <w:r>
              <w:rPr>
                <w:rFonts w:ascii="黑体" w:eastAsia="黑体" w:hAnsi="黑体"/>
                <w:kern w:val="0"/>
                <w:sz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39" w:left="-82" w:rightChars="-46" w:right="-97"/>
              <w:jc w:val="center"/>
              <w:rPr>
                <w:rFonts w:ascii="黑体" w:eastAsia="黑体" w:hAnsi="黑体"/>
              </w:rPr>
            </w:pPr>
            <w:r>
              <w:rPr>
                <w:rFonts w:ascii="黑体" w:eastAsia="黑体" w:hAnsi="黑体"/>
                <w:kern w:val="0"/>
                <w:sz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56" w:left="-118" w:rightChars="-56" w:right="-118"/>
              <w:jc w:val="center"/>
              <w:rPr>
                <w:rFonts w:ascii="黑体" w:eastAsia="黑体" w:hAnsi="黑体"/>
                <w:kern w:val="0"/>
                <w:sz w:val="20"/>
              </w:rPr>
            </w:pPr>
            <w:r>
              <w:rPr>
                <w:rFonts w:ascii="黑体" w:eastAsia="黑体" w:hAnsi="黑体"/>
                <w:kern w:val="0"/>
                <w:sz w:val="20"/>
              </w:rPr>
              <w:t>尚未</w:t>
            </w:r>
          </w:p>
          <w:p w:rsidR="001A0894" w:rsidRDefault="008F3723">
            <w:pPr>
              <w:widowControl/>
              <w:ind w:leftChars="-56" w:left="-118" w:rightChars="-56" w:right="-118"/>
              <w:jc w:val="center"/>
              <w:rPr>
                <w:rFonts w:ascii="黑体" w:eastAsia="黑体" w:hAnsi="黑体"/>
              </w:rPr>
            </w:pPr>
            <w:r>
              <w:rPr>
                <w:rFonts w:ascii="黑体" w:eastAsia="黑体" w:hAnsi="黑体"/>
                <w:kern w:val="0"/>
                <w:sz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line="320" w:lineRule="exact"/>
              <w:jc w:val="center"/>
              <w:rPr>
                <w:rFonts w:ascii="黑体" w:eastAsia="黑体" w:hAnsi="黑体"/>
                <w:kern w:val="0"/>
                <w:sz w:val="20"/>
              </w:rPr>
            </w:pPr>
            <w:r>
              <w:rPr>
                <w:rFonts w:ascii="黑体" w:eastAsia="黑体" w:hAnsi="黑体"/>
                <w:kern w:val="0"/>
                <w:sz w:val="20"/>
              </w:rPr>
              <w:t>总</w:t>
            </w:r>
          </w:p>
          <w:p w:rsidR="001A0894" w:rsidRDefault="008F3723">
            <w:pPr>
              <w:widowControl/>
              <w:spacing w:line="320" w:lineRule="exact"/>
              <w:jc w:val="center"/>
              <w:rPr>
                <w:rFonts w:ascii="黑体" w:eastAsia="黑体" w:hAnsi="黑体"/>
              </w:rPr>
            </w:pPr>
            <w:r>
              <w:rPr>
                <w:rFonts w:ascii="黑体" w:eastAsia="黑体" w:hAnsi="黑体"/>
                <w:kern w:val="0"/>
                <w:sz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jc w:val="center"/>
              <w:rPr>
                <w:rFonts w:ascii="黑体" w:eastAsia="黑体" w:hAnsi="黑体"/>
              </w:rPr>
            </w:pPr>
            <w:r>
              <w:rPr>
                <w:rFonts w:ascii="黑体" w:eastAsia="黑体" w:hAnsi="黑体"/>
                <w:kern w:val="0"/>
                <w:sz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jc w:val="center"/>
              <w:rPr>
                <w:rFonts w:ascii="黑体" w:eastAsia="黑体" w:hAnsi="黑体"/>
              </w:rPr>
            </w:pPr>
            <w:bookmarkStart w:id="10" w:name="_Hlk67039688"/>
            <w:r>
              <w:rPr>
                <w:rFonts w:ascii="黑体" w:eastAsia="黑体" w:hAnsi="黑体"/>
                <w:kern w:val="0"/>
                <w:sz w:val="20"/>
              </w:rPr>
              <w:t>复议后起诉</w:t>
            </w:r>
            <w:bookmarkEnd w:id="10"/>
          </w:p>
        </w:tc>
      </w:tr>
      <w:tr w:rsidR="001A0894">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A0894" w:rsidRDefault="001A0894">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1A0894">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1A0894">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1A0894">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1A0894">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50" w:left="-105" w:rightChars="-60" w:right="-126"/>
              <w:jc w:val="center"/>
              <w:rPr>
                <w:rFonts w:ascii="黑体" w:eastAsia="黑体" w:hAnsi="黑体"/>
              </w:rPr>
            </w:pPr>
            <w:r>
              <w:rPr>
                <w:rFonts w:ascii="黑体" w:eastAsia="黑体" w:hAnsi="黑体"/>
                <w:kern w:val="0"/>
                <w:sz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41" w:left="-86" w:rightChars="-42" w:right="-88"/>
              <w:jc w:val="center"/>
              <w:rPr>
                <w:rFonts w:ascii="黑体" w:eastAsia="黑体" w:hAnsi="黑体"/>
              </w:rPr>
            </w:pPr>
            <w:r>
              <w:rPr>
                <w:rFonts w:ascii="黑体" w:eastAsia="黑体" w:hAnsi="黑体"/>
                <w:kern w:val="0"/>
                <w:sz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60" w:left="-126" w:rightChars="-65" w:right="-136"/>
              <w:jc w:val="center"/>
              <w:rPr>
                <w:rFonts w:ascii="黑体" w:eastAsia="黑体" w:hAnsi="黑体"/>
                <w:kern w:val="0"/>
                <w:sz w:val="20"/>
              </w:rPr>
            </w:pPr>
            <w:r>
              <w:rPr>
                <w:rFonts w:ascii="黑体" w:eastAsia="黑体" w:hAnsi="黑体"/>
                <w:kern w:val="0"/>
                <w:sz w:val="20"/>
              </w:rPr>
              <w:t>其他</w:t>
            </w:r>
          </w:p>
          <w:p w:rsidR="001A0894" w:rsidRDefault="008F3723">
            <w:pPr>
              <w:widowControl/>
              <w:ind w:leftChars="-60" w:left="-126" w:rightChars="-65" w:right="-136"/>
              <w:jc w:val="center"/>
              <w:rPr>
                <w:rFonts w:ascii="黑体" w:eastAsia="黑体" w:hAnsi="黑体"/>
              </w:rPr>
            </w:pPr>
            <w:r>
              <w:rPr>
                <w:rFonts w:ascii="黑体" w:eastAsia="黑体" w:hAnsi="黑体"/>
                <w:kern w:val="0"/>
                <w:sz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78" w:left="-164" w:rightChars="-73" w:right="-153"/>
              <w:jc w:val="center"/>
              <w:rPr>
                <w:rFonts w:ascii="黑体" w:eastAsia="黑体" w:hAnsi="黑体"/>
                <w:kern w:val="0"/>
                <w:sz w:val="20"/>
              </w:rPr>
            </w:pPr>
            <w:r>
              <w:rPr>
                <w:rFonts w:ascii="黑体" w:eastAsia="黑体" w:hAnsi="黑体"/>
                <w:kern w:val="0"/>
                <w:sz w:val="20"/>
              </w:rPr>
              <w:t>尚未</w:t>
            </w:r>
          </w:p>
          <w:p w:rsidR="001A0894" w:rsidRDefault="008F3723">
            <w:pPr>
              <w:widowControl/>
              <w:ind w:leftChars="-78" w:left="-164" w:rightChars="-73" w:right="-153"/>
              <w:jc w:val="center"/>
              <w:rPr>
                <w:rFonts w:ascii="黑体" w:eastAsia="黑体" w:hAnsi="黑体"/>
              </w:rPr>
            </w:pPr>
            <w:r>
              <w:rPr>
                <w:rFonts w:ascii="黑体" w:eastAsia="黑体" w:hAnsi="黑体"/>
                <w:kern w:val="0"/>
                <w:sz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jc w:val="center"/>
              <w:rPr>
                <w:rFonts w:ascii="黑体" w:eastAsia="黑体" w:hAnsi="黑体"/>
              </w:rPr>
            </w:pPr>
            <w:r>
              <w:rPr>
                <w:rFonts w:ascii="黑体" w:eastAsia="黑体" w:hAnsi="黑体"/>
                <w:kern w:val="0"/>
                <w:sz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47" w:left="-99" w:rightChars="-37" w:right="-78"/>
              <w:jc w:val="center"/>
              <w:rPr>
                <w:rFonts w:ascii="黑体" w:eastAsia="黑体" w:hAnsi="黑体"/>
              </w:rPr>
            </w:pPr>
            <w:r>
              <w:rPr>
                <w:rFonts w:ascii="黑体" w:eastAsia="黑体" w:hAnsi="黑体"/>
                <w:kern w:val="0"/>
                <w:sz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65" w:left="-136" w:rightChars="-59" w:right="-124"/>
              <w:jc w:val="center"/>
              <w:rPr>
                <w:rFonts w:ascii="黑体" w:eastAsia="黑体" w:hAnsi="黑体"/>
                <w:kern w:val="0"/>
                <w:sz w:val="20"/>
              </w:rPr>
            </w:pPr>
            <w:r>
              <w:rPr>
                <w:rFonts w:ascii="黑体" w:eastAsia="黑体" w:hAnsi="黑体"/>
                <w:kern w:val="0"/>
                <w:sz w:val="20"/>
              </w:rPr>
              <w:t>结果</w:t>
            </w:r>
          </w:p>
          <w:p w:rsidR="001A0894" w:rsidRDefault="008F3723">
            <w:pPr>
              <w:widowControl/>
              <w:ind w:leftChars="-65" w:left="-136" w:rightChars="-59" w:right="-124"/>
              <w:jc w:val="center"/>
              <w:rPr>
                <w:rFonts w:ascii="黑体" w:eastAsia="黑体" w:hAnsi="黑体"/>
              </w:rPr>
            </w:pPr>
            <w:r>
              <w:rPr>
                <w:rFonts w:ascii="黑体" w:eastAsia="黑体" w:hAnsi="黑体"/>
                <w:kern w:val="0"/>
                <w:sz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83" w:left="-173" w:rightChars="-64" w:right="-134" w:hanging="1"/>
              <w:jc w:val="center"/>
              <w:rPr>
                <w:rFonts w:ascii="黑体" w:eastAsia="黑体" w:hAnsi="黑体"/>
                <w:kern w:val="0"/>
                <w:sz w:val="20"/>
              </w:rPr>
            </w:pPr>
            <w:r>
              <w:rPr>
                <w:rFonts w:ascii="黑体" w:eastAsia="黑体" w:hAnsi="黑体"/>
                <w:kern w:val="0"/>
                <w:sz w:val="20"/>
              </w:rPr>
              <w:t>其他</w:t>
            </w:r>
          </w:p>
          <w:p w:rsidR="001A0894" w:rsidRDefault="008F3723">
            <w:pPr>
              <w:widowControl/>
              <w:ind w:leftChars="-83" w:left="-173" w:rightChars="-64" w:right="-134" w:hanging="1"/>
              <w:jc w:val="center"/>
              <w:rPr>
                <w:rFonts w:ascii="黑体" w:eastAsia="黑体" w:hAnsi="黑体"/>
              </w:rPr>
            </w:pPr>
            <w:r>
              <w:rPr>
                <w:rFonts w:ascii="黑体" w:eastAsia="黑体" w:hAnsi="黑体"/>
                <w:kern w:val="0"/>
                <w:sz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ind w:leftChars="-33" w:left="-67" w:rightChars="-50" w:right="-105" w:hangingChars="1" w:hanging="2"/>
              <w:jc w:val="center"/>
              <w:rPr>
                <w:rFonts w:ascii="黑体" w:eastAsia="黑体" w:hAnsi="黑体"/>
              </w:rPr>
            </w:pPr>
            <w:r>
              <w:rPr>
                <w:rFonts w:ascii="黑体" w:eastAsia="黑体" w:hAnsi="黑体"/>
                <w:kern w:val="0"/>
                <w:sz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jc w:val="center"/>
              <w:rPr>
                <w:rFonts w:ascii="黑体" w:eastAsia="黑体" w:hAnsi="黑体"/>
              </w:rPr>
            </w:pPr>
            <w:r>
              <w:rPr>
                <w:rFonts w:ascii="黑体" w:eastAsia="黑体" w:hAnsi="黑体"/>
                <w:kern w:val="0"/>
                <w:sz w:val="20"/>
              </w:rPr>
              <w:t>总计</w:t>
            </w:r>
          </w:p>
        </w:tc>
      </w:tr>
      <w:tr w:rsidR="001A0894">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1A0894" w:rsidRDefault="008F3723">
            <w:pPr>
              <w:widowControl/>
              <w:spacing w:after="180"/>
              <w:jc w:val="center"/>
            </w:pPr>
            <w:r>
              <w:rPr>
                <w:rFonts w:hint="eastAsia"/>
              </w:rPr>
              <w:t>0</w:t>
            </w:r>
          </w:p>
        </w:tc>
      </w:tr>
    </w:tbl>
    <w:p w:rsidR="001A0894" w:rsidRDefault="008F372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五、存在的主要问题及改进情况</w:t>
      </w:r>
    </w:p>
    <w:p w:rsidR="001A0894" w:rsidRDefault="008F372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（一）存在的主要问题</w:t>
      </w: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服务群众的能力需要进一步提升，审计机关政府信息专业性较强，解读不够精准，存在群众不好懂、不好用的问题。二是政府信息公开工作的培训力度需进一步加强，对局属政府信息公开人员的培训指导缺乏针对性。</w:t>
      </w:r>
    </w:p>
    <w:p w:rsidR="001A0894" w:rsidRDefault="008F372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（二）改进情况及下一步工作打算</w:t>
      </w:r>
    </w:p>
    <w:p w:rsidR="001A0894" w:rsidRDefault="008F3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与区政府大数据局的沟通交流，及时了解我区政府信息公开工作的最新要求。二是丰富解读方式，采用一图读懂的形式对审计报告进行解读，便于群众了解。三是加强政府信息公开队伍建设，分级分类开展教育培训和指导工作，提升干部公开意识和工作能力。</w:t>
      </w:r>
    </w:p>
    <w:p w:rsidR="001A0894" w:rsidRDefault="008F372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1A0894" w:rsidRDefault="008F3723">
      <w:pPr>
        <w:pStyle w:val="a5"/>
        <w:spacing w:line="60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依据《政府信息公开信息处理费管理办法》，区审计局全年没有收取信息公开处理费。</w:t>
      </w:r>
    </w:p>
    <w:p w:rsidR="001A0894" w:rsidRDefault="008F3723">
      <w:pPr>
        <w:pStyle w:val="a5"/>
        <w:spacing w:line="60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区审计局严格按照《台儿庄区人民政府办公室关于印发</w:t>
      </w:r>
      <w:r>
        <w:rPr>
          <w:rFonts w:ascii="仿宋_GB2312" w:eastAsia="仿宋_GB2312" w:hAnsi="仿宋_GB2312" w:cs="仿宋_GB2312" w:hint="eastAsia"/>
          <w:color w:val="000000"/>
          <w:sz w:val="32"/>
          <w:szCs w:val="32"/>
          <w:shd w:val="clear" w:color="auto" w:fill="FFFFFF"/>
        </w:rPr>
        <w:lastRenderedPageBreak/>
        <w:t>&lt;2023</w:t>
      </w:r>
      <w:r>
        <w:rPr>
          <w:rFonts w:ascii="仿宋_GB2312" w:eastAsia="仿宋_GB2312" w:hAnsi="仿宋_GB2312" w:cs="仿宋_GB2312" w:hint="eastAsia"/>
          <w:color w:val="000000"/>
          <w:sz w:val="32"/>
          <w:szCs w:val="32"/>
          <w:shd w:val="clear" w:color="auto" w:fill="FFFFFF"/>
        </w:rPr>
        <w:t>年台儿庄区政务公开工作要点实施方案</w:t>
      </w:r>
      <w:r>
        <w:rPr>
          <w:rFonts w:ascii="仿宋_GB2312" w:eastAsia="仿宋_GB2312" w:hAnsi="仿宋_GB2312" w:cs="仿宋_GB2312" w:hint="eastAsia"/>
          <w:color w:val="000000"/>
          <w:sz w:val="32"/>
          <w:szCs w:val="32"/>
          <w:shd w:val="clear" w:color="auto" w:fill="FFFFFF"/>
        </w:rPr>
        <w:t>&gt;</w:t>
      </w:r>
      <w:r>
        <w:rPr>
          <w:rFonts w:ascii="仿宋_GB2312" w:eastAsia="仿宋_GB2312" w:hAnsi="仿宋_GB2312" w:cs="仿宋_GB2312" w:hint="eastAsia"/>
          <w:color w:val="000000"/>
          <w:sz w:val="32"/>
          <w:szCs w:val="32"/>
          <w:shd w:val="clear" w:color="auto" w:fill="FFFFFF"/>
        </w:rPr>
        <w:t>的通知》要求，结合审计工作实际，对</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年政务公开重点工作任务进行分</w:t>
      </w:r>
      <w:r>
        <w:rPr>
          <w:rFonts w:ascii="仿宋_GB2312" w:eastAsia="仿宋_GB2312" w:hAnsi="仿宋_GB2312" w:cs="仿宋_GB2312" w:hint="eastAsia"/>
          <w:color w:val="000000"/>
          <w:sz w:val="32"/>
          <w:szCs w:val="32"/>
          <w:shd w:val="clear" w:color="auto" w:fill="FFFFFF"/>
        </w:rPr>
        <w:t>工，科学制定工作要点，有序推进政务公开工作。</w:t>
      </w:r>
    </w:p>
    <w:p w:rsidR="001A0894" w:rsidRDefault="008F3723">
      <w:pPr>
        <w:pStyle w:val="a5"/>
        <w:spacing w:line="60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区审计局全年未收到人大代表建议和政协主办提案。</w:t>
      </w:r>
    </w:p>
    <w:p w:rsidR="001A0894" w:rsidRDefault="008F3723">
      <w:pPr>
        <w:pStyle w:val="a5"/>
        <w:spacing w:line="60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4. </w:t>
      </w:r>
      <w:r>
        <w:rPr>
          <w:rFonts w:ascii="仿宋_GB2312" w:eastAsia="仿宋_GB2312" w:hAnsi="仿宋_GB2312" w:cs="仿宋_GB2312" w:hint="eastAsia"/>
          <w:color w:val="000000"/>
          <w:sz w:val="32"/>
          <w:szCs w:val="32"/>
          <w:shd w:val="clear" w:color="auto" w:fill="FFFFFF"/>
        </w:rPr>
        <w:t>政务公开工作创新情况</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无。</w:t>
      </w:r>
    </w:p>
    <w:p w:rsidR="001A0894" w:rsidRDefault="008F3723">
      <w:pPr>
        <w:pStyle w:val="a5"/>
        <w:spacing w:line="60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本报告中所列数据的统计期限为</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日至</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日。</w:t>
      </w:r>
    </w:p>
    <w:p w:rsidR="001A0894" w:rsidRDefault="008F3723">
      <w:pPr>
        <w:pStyle w:val="a5"/>
        <w:spacing w:line="60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区审计局本年度没有其他需要报告的事项。</w:t>
      </w:r>
    </w:p>
    <w:p w:rsidR="001A0894" w:rsidRDefault="008F3723">
      <w:pPr>
        <w:pStyle w:val="a5"/>
        <w:spacing w:line="600" w:lineRule="exact"/>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区审计局无其他有关文件专门要求通过政府信息公开工作年度报告予以报告的事项。</w:t>
      </w:r>
    </w:p>
    <w:p w:rsidR="001A0894" w:rsidRDefault="001A0894">
      <w:pPr>
        <w:spacing w:line="560" w:lineRule="exact"/>
        <w:ind w:firstLineChars="200" w:firstLine="640"/>
        <w:rPr>
          <w:rFonts w:ascii="仿宋_GB2312" w:eastAsia="仿宋_GB2312" w:hAnsi="仿宋_GB2312" w:cs="仿宋_GB2312"/>
          <w:sz w:val="32"/>
          <w:szCs w:val="32"/>
        </w:rPr>
      </w:pPr>
    </w:p>
    <w:p w:rsidR="001A0894" w:rsidRDefault="008F3723">
      <w:pPr>
        <w:pStyle w:val="a5"/>
        <w:spacing w:line="600" w:lineRule="exact"/>
        <w:ind w:firstLine="640"/>
        <w:jc w:val="righ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台儿庄区审计局</w:t>
      </w:r>
    </w:p>
    <w:p w:rsidR="001A0894" w:rsidRDefault="008F3723">
      <w:pPr>
        <w:pStyle w:val="a5"/>
        <w:spacing w:line="60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2024</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16</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br/>
      </w:r>
    </w:p>
    <w:sectPr w:rsidR="001A0894" w:rsidSect="00D3018B">
      <w:footerReference w:type="default" r:id="rId10"/>
      <w:pgSz w:w="11906" w:h="16838"/>
      <w:pgMar w:top="1985"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23" w:rsidRDefault="008F3723">
      <w:r>
        <w:separator/>
      </w:r>
    </w:p>
  </w:endnote>
  <w:endnote w:type="continuationSeparator" w:id="0">
    <w:p w:rsidR="008F3723" w:rsidRDefault="008F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94" w:rsidRDefault="008F372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0894" w:rsidRDefault="008F3723">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3018B">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A0894" w:rsidRDefault="008F3723">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3018B">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23" w:rsidRDefault="008F3723">
      <w:r>
        <w:separator/>
      </w:r>
    </w:p>
  </w:footnote>
  <w:footnote w:type="continuationSeparator" w:id="0">
    <w:p w:rsidR="008F3723" w:rsidRDefault="008F37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0CE179"/>
    <w:multiLevelType w:val="singleLevel"/>
    <w:tmpl w:val="E60CE17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NDJlNjk2MGFmNjFhMGVmYzJkMmNmODQ5MzJlZjAifQ=="/>
  </w:docVars>
  <w:rsids>
    <w:rsidRoot w:val="001C0E43"/>
    <w:rsid w:val="001A0894"/>
    <w:rsid w:val="001B7C48"/>
    <w:rsid w:val="001C0E43"/>
    <w:rsid w:val="00400624"/>
    <w:rsid w:val="0073073D"/>
    <w:rsid w:val="008F3723"/>
    <w:rsid w:val="00D3018B"/>
    <w:rsid w:val="00FE4D9B"/>
    <w:rsid w:val="15923538"/>
    <w:rsid w:val="26DA0672"/>
    <w:rsid w:val="27CE3702"/>
    <w:rsid w:val="31183A15"/>
    <w:rsid w:val="54A13C33"/>
    <w:rsid w:val="62DD6544"/>
    <w:rsid w:val="65F2407F"/>
    <w:rsid w:val="734F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46AE"/>
  <w15:docId w15:val="{94411D05-0179-43F5-A06F-EA37CFBD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458</Words>
  <Characters>2612</Characters>
  <Application>Microsoft Office Word</Application>
  <DocSecurity>0</DocSecurity>
  <Lines>21</Lines>
  <Paragraphs>6</Paragraphs>
  <ScaleCrop>false</ScaleCrop>
  <Company>Microsoft</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5</cp:revision>
  <cp:lastPrinted>2024-01-09T01:41:00Z</cp:lastPrinted>
  <dcterms:created xsi:type="dcterms:W3CDTF">2024-01-16T04:26:00Z</dcterms:created>
  <dcterms:modified xsi:type="dcterms:W3CDTF">2024-05-06T00:54:00Z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AF1B9A1108764C598E8072168C79237B_12</vt:lpwstr>
  </property>
</Properties>
</file>