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333333"/>
          <w:spacing w:val="-17"/>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枣庄市台儿庄区</w:t>
      </w:r>
      <w:r>
        <w:rPr>
          <w:rFonts w:hint="eastAsia" w:ascii="方正小标宋简体" w:hAnsi="方正小标宋简体" w:eastAsia="方正小标宋简体" w:cs="方正小标宋简体"/>
          <w:bCs/>
          <w:color w:val="333333"/>
          <w:spacing w:val="-17"/>
          <w:sz w:val="44"/>
          <w:szCs w:val="44"/>
          <w:shd w:val="clear" w:color="auto" w:fill="FFFFFF"/>
        </w:rPr>
        <w:t>农业农村局</w:t>
      </w:r>
    </w:p>
    <w:p>
      <w:pPr>
        <w:pStyle w:val="5"/>
        <w:shd w:val="clear" w:color="auto" w:fill="FFFFFF"/>
        <w:spacing w:before="0" w:beforeAutospacing="0" w:after="0" w:afterAutospacing="0" w:line="560" w:lineRule="exact"/>
        <w:jc w:val="center"/>
        <w:rPr>
          <w:rFonts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pacing w:val="-17"/>
          <w:sz w:val="44"/>
          <w:szCs w:val="44"/>
          <w:shd w:val="clear" w:color="auto" w:fill="FFFFFF"/>
        </w:rPr>
        <w:t>2023年政府信息公开工作</w:t>
      </w:r>
      <w:r>
        <w:rPr>
          <w:rFonts w:hint="eastAsia" w:ascii="方正小标宋简体" w:hAnsi="方正小标宋简体" w:eastAsia="方正小标宋简体" w:cs="方正小标宋简体"/>
          <w:bCs/>
          <w:color w:val="333333"/>
          <w:sz w:val="44"/>
          <w:szCs w:val="44"/>
          <w:shd w:val="clear" w:color="auto" w:fill="FFFFFF"/>
        </w:rPr>
        <w:t>年度报告</w:t>
      </w:r>
    </w:p>
    <w:p>
      <w:pPr>
        <w:pStyle w:val="5"/>
        <w:shd w:val="clear" w:color="auto" w:fill="FFFFFF"/>
        <w:spacing w:before="0" w:beforeAutospacing="0" w:after="0" w:afterAutospacing="0" w:line="560" w:lineRule="exact"/>
        <w:ind w:firstLine="618" w:firstLineChars="200"/>
        <w:jc w:val="both"/>
        <w:rPr>
          <w:rFonts w:ascii="仿宋_GB2312" w:hAnsi="仿宋_GB2312" w:eastAsia="仿宋_GB2312" w:cs="仿宋_GB2312"/>
          <w:bCs/>
          <w:color w:val="333333"/>
          <w:sz w:val="32"/>
          <w:szCs w:val="32"/>
          <w:shd w:val="clear" w:color="auto" w:fill="FFFFFF"/>
        </w:rPr>
      </w:pPr>
    </w:p>
    <w:p>
      <w:pPr>
        <w:pStyle w:val="5"/>
        <w:shd w:val="clear" w:color="auto" w:fill="FFFFFF"/>
        <w:spacing w:before="0" w:beforeAutospacing="0" w:after="0" w:afterAutospacing="0" w:line="560" w:lineRule="exact"/>
        <w:ind w:firstLine="618" w:firstLineChars="200"/>
        <w:jc w:val="both"/>
        <w:rPr>
          <w:rFonts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根据《中华人民共和国政府信息公开条例》（国务院令第711号）相关规定及《台儿庄区人民政府办公室关于做好2023年政府信息公开工作年度报告编制和发布工作的通知》要求，现向社会公布台儿庄区农业农村局2023年度政府信息公开报告。本报告由总体情况、主动公开政府信息情况、收到和处理政府信息公开申请情况、政府信息公开行政复议、行政诉讼情况、存在的主要问题及改进情况、其他需要报告的事项共六个部分组成。本报告中所列数据的统计时限为2023年1月1日至2023年12月31日。本报告可通过台儿庄区政府门户网站（http://www.tez.gov.cn/）查阅或下载。如对本报告有疑问，请与台儿庄区农业农村局办公室联系（地址：台儿庄区市民中心五楼；邮编：277400；联系电话：0632-6611839；电子邮箱：teznyj@zz.shandong.cn）。</w:t>
      </w:r>
    </w:p>
    <w:p>
      <w:pPr>
        <w:pStyle w:val="5"/>
        <w:shd w:val="clear" w:color="auto" w:fill="FFFFFF"/>
        <w:spacing w:before="0" w:beforeAutospacing="0" w:after="0" w:afterAutospacing="0" w:line="560" w:lineRule="exact"/>
        <w:ind w:firstLine="618" w:firstLineChars="20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一、总体情况</w:t>
      </w:r>
    </w:p>
    <w:p>
      <w:pPr>
        <w:widowControl/>
        <w:spacing w:line="560" w:lineRule="exact"/>
        <w:ind w:firstLine="618" w:firstLineChars="20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2023年，台儿庄区农业农村局以习近平新时代中国特色社会主义思想为指导，</w:t>
      </w:r>
      <w:r>
        <w:rPr>
          <w:rFonts w:ascii="仿宋_GB2312" w:hAnsi="宋体" w:eastAsia="仿宋_GB2312" w:cs="仿宋_GB2312"/>
          <w:color w:val="000000"/>
          <w:sz w:val="31"/>
          <w:szCs w:val="31"/>
          <w:shd w:val="clear" w:color="auto" w:fill="FFFFFF"/>
        </w:rPr>
        <w:t>按照中央、省、市、区政务信息公开通知要求，紧紧</w:t>
      </w:r>
      <w:r>
        <w:rPr>
          <w:rFonts w:hint="eastAsia" w:ascii="仿宋_GB2312" w:hAnsi="宋体" w:eastAsia="仿宋_GB2312" w:cs="仿宋_GB2312"/>
          <w:color w:val="000000"/>
          <w:sz w:val="31"/>
          <w:szCs w:val="31"/>
          <w:shd w:val="clear" w:color="auto" w:fill="FFFFFF"/>
        </w:rPr>
        <w:t>围绕全区农业农村工作，落实责任，完善流程，全面加强信息公开平台、门户网站、政务新媒体信息公开力度，稳步推进政府信息公开工作扎实有效开展，</w:t>
      </w:r>
      <w:r>
        <w:rPr>
          <w:rFonts w:hint="eastAsia" w:ascii="仿宋_GB2312" w:hAnsi="黑体" w:eastAsia="仿宋_GB2312" w:cs="宋体"/>
          <w:color w:val="000000"/>
          <w:kern w:val="0"/>
          <w:sz w:val="32"/>
          <w:szCs w:val="32"/>
        </w:rPr>
        <w:t>不断提高农业农村工作透明度，确保权力在阳光下运行。</w:t>
      </w:r>
    </w:p>
    <w:p>
      <w:pPr>
        <w:widowControl/>
        <w:spacing w:line="560" w:lineRule="exact"/>
        <w:ind w:firstLine="618" w:firstLineChars="200"/>
        <w:jc w:val="left"/>
        <w:rPr>
          <w:rFonts w:ascii="仿宋_GB2312" w:hAnsi="黑体" w:eastAsia="仿宋_GB2312" w:cs="宋体"/>
          <w:kern w:val="0"/>
          <w:sz w:val="32"/>
          <w:szCs w:val="32"/>
        </w:rPr>
      </w:pPr>
      <w:r>
        <w:rPr>
          <w:rFonts w:hint="eastAsia" w:ascii="楷体_GB2312" w:hAnsi="楷体_GB2312" w:eastAsia="楷体_GB2312" w:cs="楷体_GB2312"/>
          <w:color w:val="000000"/>
          <w:kern w:val="0"/>
          <w:sz w:val="32"/>
          <w:szCs w:val="32"/>
        </w:rPr>
        <w:t>（一）主动公开。</w:t>
      </w:r>
      <w:r>
        <w:rPr>
          <w:rFonts w:hint="eastAsia" w:ascii="仿宋_GB2312" w:hAnsi="黑体" w:eastAsia="仿宋_GB2312" w:cs="宋体"/>
          <w:color w:val="000000"/>
          <w:kern w:val="0"/>
          <w:sz w:val="32"/>
          <w:szCs w:val="32"/>
        </w:rPr>
        <w:t>围绕工作职能，</w:t>
      </w:r>
      <w:r>
        <w:rPr>
          <w:rFonts w:hint="eastAsia" w:ascii="仿宋_GB2312" w:hAnsi="仿宋_GB2312" w:eastAsia="仿宋_GB2312" w:cs="仿宋_GB2312"/>
          <w:sz w:val="32"/>
          <w:szCs w:val="32"/>
        </w:rPr>
        <w:t>2023</w:t>
      </w:r>
      <w:r>
        <w:rPr>
          <w:rFonts w:hint="eastAsia" w:ascii="仿宋_GB2312" w:hAnsi="黑体" w:eastAsia="仿宋_GB2312" w:cs="宋体"/>
          <w:color w:val="000000"/>
          <w:kern w:val="0"/>
          <w:sz w:val="32"/>
          <w:szCs w:val="32"/>
        </w:rPr>
        <w:t>年，主动公开政府信</w:t>
      </w:r>
      <w:r>
        <w:rPr>
          <w:rFonts w:hint="eastAsia" w:ascii="仿宋_GB2312" w:hAnsi="黑体" w:eastAsia="仿宋_GB2312" w:cs="宋体"/>
          <w:kern w:val="0"/>
          <w:sz w:val="32"/>
          <w:szCs w:val="32"/>
        </w:rPr>
        <w:t>息92条</w:t>
      </w:r>
      <w:r>
        <w:rPr>
          <w:rFonts w:hint="eastAsia" w:ascii="仿宋_GB2312" w:hAnsi="黑体" w:eastAsia="仿宋_GB2312" w:cs="宋体"/>
          <w:color w:val="000000"/>
          <w:kern w:val="0"/>
          <w:sz w:val="32"/>
          <w:szCs w:val="32"/>
        </w:rPr>
        <w:t>，通过“台儿庄农业”微信公众号发布各类信息</w:t>
      </w:r>
      <w:r>
        <w:rPr>
          <w:rFonts w:hint="eastAsia" w:ascii="仿宋_GB2312" w:hAnsi="黑体" w:eastAsia="仿宋_GB2312" w:cs="宋体"/>
          <w:kern w:val="0"/>
          <w:sz w:val="32"/>
          <w:szCs w:val="32"/>
        </w:rPr>
        <w:t>600余条。</w:t>
      </w:r>
    </w:p>
    <w:p>
      <w:pPr>
        <w:widowControl/>
        <w:spacing w:line="560" w:lineRule="exact"/>
        <w:ind w:firstLine="618" w:firstLineChars="200"/>
        <w:jc w:val="left"/>
        <w:rPr>
          <w:rFonts w:ascii="仿宋_GB2312" w:hAnsi="宋体" w:eastAsia="仿宋_GB2312" w:cs="仿宋_GB2312"/>
          <w:color w:val="000000"/>
          <w:sz w:val="31"/>
          <w:szCs w:val="31"/>
          <w:shd w:val="clear" w:color="auto" w:fill="FFFFFF"/>
        </w:rPr>
      </w:pPr>
      <w:r>
        <w:rPr>
          <w:rFonts w:hint="eastAsia" w:ascii="楷体_GB2312" w:hAnsi="楷体_GB2312" w:eastAsia="楷体_GB2312" w:cs="楷体_GB2312"/>
          <w:color w:val="000000"/>
          <w:kern w:val="0"/>
          <w:sz w:val="32"/>
          <w:szCs w:val="32"/>
        </w:rPr>
        <w:t>（二）依申请公开。</w:t>
      </w:r>
      <w:r>
        <w:rPr>
          <w:rFonts w:hint="eastAsia" w:ascii="仿宋_GB2312" w:hAnsi="仿宋_GB2312" w:eastAsia="仿宋_GB2312" w:cs="仿宋_GB2312"/>
          <w:color w:val="000000"/>
          <w:kern w:val="0"/>
          <w:sz w:val="32"/>
          <w:szCs w:val="32"/>
        </w:rPr>
        <w:t>2023年</w:t>
      </w:r>
      <w:r>
        <w:rPr>
          <w:rFonts w:ascii="仿宋_GB2312" w:hAnsi="宋体" w:eastAsia="仿宋_GB2312" w:cs="仿宋_GB2312"/>
          <w:color w:val="000000"/>
          <w:sz w:val="31"/>
          <w:szCs w:val="31"/>
          <w:shd w:val="clear" w:color="auto" w:fill="FFFFFF"/>
        </w:rPr>
        <w:t>台儿庄区农业农村局累计受理政府信息公开申请</w:t>
      </w:r>
      <w:r>
        <w:rPr>
          <w:rFonts w:hint="eastAsia" w:ascii="仿宋_GB2312" w:hAnsi="宋体" w:eastAsia="仿宋_GB2312" w:cs="仿宋_GB2312"/>
          <w:color w:val="000000"/>
          <w:sz w:val="31"/>
          <w:szCs w:val="31"/>
          <w:shd w:val="clear" w:color="auto" w:fill="FFFFFF"/>
        </w:rPr>
        <w:t>0</w:t>
      </w:r>
      <w:r>
        <w:rPr>
          <w:rFonts w:ascii="仿宋_GB2312" w:hAnsi="宋体" w:eastAsia="仿宋_GB2312" w:cs="仿宋_GB2312"/>
          <w:color w:val="000000"/>
          <w:sz w:val="31"/>
          <w:szCs w:val="31"/>
          <w:shd w:val="clear" w:color="auto" w:fill="FFFFFF"/>
        </w:rPr>
        <w:t>件</w:t>
      </w:r>
      <w:r>
        <w:rPr>
          <w:rFonts w:hint="eastAsia" w:ascii="仿宋_GB2312" w:hAnsi="宋体" w:eastAsia="仿宋_GB2312" w:cs="仿宋_GB2312"/>
          <w:color w:val="000000"/>
          <w:sz w:val="31"/>
          <w:szCs w:val="31"/>
          <w:shd w:val="clear" w:color="auto" w:fill="FFFFFF"/>
        </w:rPr>
        <w:t>。</w:t>
      </w:r>
    </w:p>
    <w:p>
      <w:pPr>
        <w:widowControl/>
        <w:spacing w:line="560" w:lineRule="exact"/>
        <w:ind w:firstLine="598" w:firstLineChars="200"/>
        <w:jc w:val="left"/>
        <w:rPr>
          <w:rFonts w:ascii="仿宋_GB2312" w:hAnsi="黑体" w:eastAsia="仿宋_GB2312" w:cs="宋体"/>
          <w:color w:val="0000FF"/>
          <w:kern w:val="0"/>
          <w:sz w:val="32"/>
          <w:szCs w:val="32"/>
        </w:rPr>
      </w:pPr>
      <w:r>
        <w:rPr>
          <w:rFonts w:ascii="楷体_GB2312" w:hAnsi="宋体" w:eastAsia="楷体_GB2312" w:cs="楷体_GB2312"/>
          <w:color w:val="000000"/>
          <w:sz w:val="31"/>
          <w:szCs w:val="31"/>
        </w:rPr>
        <w:t>（三）信息管理。</w:t>
      </w:r>
      <w:r>
        <w:rPr>
          <w:rFonts w:hint="eastAsia" w:ascii="仿宋_GB2312" w:hAnsi="仿宋_GB2312" w:eastAsia="仿宋_GB2312" w:cs="仿宋_GB2312"/>
          <w:sz w:val="32"/>
          <w:szCs w:val="32"/>
        </w:rPr>
        <w:t>针对农业农村工作政策性强、敏感度高、事关群众切实利益和社会稳定的特点，我局严格规定信息发布审核程序，严把信息发布内容关，严格执行“分级审核、先审后发、授权发布”程序，</w:t>
      </w:r>
      <w:r>
        <w:rPr>
          <w:rFonts w:hint="eastAsia" w:ascii="仿宋_GB2312" w:hAnsi="黑体" w:eastAsia="仿宋_GB2312" w:cs="宋体"/>
          <w:color w:val="000000"/>
          <w:kern w:val="0"/>
          <w:sz w:val="32"/>
          <w:szCs w:val="32"/>
        </w:rPr>
        <w:t>确保政府信息公开工作运行制度化、规范化、科学化。</w:t>
      </w:r>
    </w:p>
    <w:p>
      <w:pPr>
        <w:widowControl/>
        <w:spacing w:line="560" w:lineRule="exact"/>
        <w:ind w:firstLine="618" w:firstLineChars="200"/>
        <w:jc w:val="left"/>
        <w:rPr>
          <w:rFonts w:ascii="仿宋_GB2312" w:hAnsi="黑体" w:eastAsia="仿宋_GB2312" w:cs="宋体"/>
          <w:color w:val="0000FF"/>
          <w:kern w:val="0"/>
          <w:sz w:val="32"/>
          <w:szCs w:val="32"/>
        </w:rPr>
      </w:pPr>
      <w:r>
        <w:rPr>
          <w:rFonts w:hint="eastAsia" w:ascii="楷体_GB2312" w:hAnsi="楷体_GB2312" w:eastAsia="楷体_GB2312" w:cs="楷体_GB2312"/>
          <w:color w:val="000000"/>
          <w:kern w:val="0"/>
          <w:sz w:val="32"/>
          <w:szCs w:val="32"/>
        </w:rPr>
        <w:t>（四）平台建设。</w:t>
      </w:r>
      <w:r>
        <w:rPr>
          <w:rFonts w:hint="eastAsia" w:ascii="仿宋_GB2312" w:hAnsi="仿宋_GB2312" w:eastAsia="仿宋_GB2312" w:cs="仿宋_GB2312"/>
          <w:color w:val="000000"/>
          <w:sz w:val="32"/>
          <w:szCs w:val="32"/>
          <w:shd w:val="clear" w:color="auto" w:fill="FFFFFF"/>
        </w:rPr>
        <w:t>我局高度重视政府网站和政务新媒体建设工作，依托台儿庄区人民政府网站进行信息发布，同时开设“台儿庄农业”微信公众号1个，</w:t>
      </w:r>
      <w:r>
        <w:rPr>
          <w:rFonts w:hint="eastAsia" w:ascii="仿宋_GB2312" w:hAnsi="黑体" w:eastAsia="仿宋_GB2312" w:cs="宋体"/>
          <w:color w:val="000000"/>
          <w:kern w:val="0"/>
          <w:sz w:val="32"/>
          <w:szCs w:val="32"/>
        </w:rPr>
        <w:t>明确专人负责平台管理，</w:t>
      </w:r>
      <w:r>
        <w:rPr>
          <w:rFonts w:hint="eastAsia" w:ascii="仿宋_GB2312" w:hAnsi="仿宋_GB2312" w:eastAsia="仿宋_GB2312" w:cs="仿宋_GB2312"/>
          <w:color w:val="000000"/>
          <w:sz w:val="32"/>
          <w:szCs w:val="32"/>
          <w:shd w:val="clear" w:color="auto" w:fill="FFFFFF"/>
        </w:rPr>
        <w:t>充分发挥媒体平台的信息宣传、政务公开作用。</w:t>
      </w:r>
    </w:p>
    <w:p>
      <w:pPr>
        <w:spacing w:line="560" w:lineRule="exact"/>
        <w:ind w:firstLine="598" w:firstLineChars="200"/>
        <w:jc w:val="left"/>
        <w:rPr>
          <w:rFonts w:ascii="仿宋_GB2312" w:hAnsi="仿宋_GB2312" w:eastAsia="仿宋_GB2312" w:cs="仿宋_GB2312"/>
          <w:sz w:val="32"/>
          <w:szCs w:val="32"/>
        </w:rPr>
      </w:pPr>
      <w:r>
        <w:rPr>
          <w:rFonts w:ascii="楷体_GB2312" w:hAnsi="宋体" w:eastAsia="楷体_GB2312" w:cs="楷体_GB2312"/>
          <w:color w:val="000000"/>
          <w:sz w:val="31"/>
          <w:szCs w:val="31"/>
        </w:rPr>
        <w:t>（五）监督保障。</w:t>
      </w:r>
      <w:r>
        <w:rPr>
          <w:rFonts w:ascii="仿宋_GB2312" w:hAnsi="宋体" w:eastAsia="仿宋_GB2312" w:cs="仿宋_GB2312"/>
          <w:color w:val="000000"/>
          <w:sz w:val="31"/>
          <w:szCs w:val="31"/>
        </w:rPr>
        <w:t>台儿庄区农业农村局高度重视政务信息公开工作，成立了以局长为组长，分管领导为副组长，科室负责同志为成员的政务信息公开工作领导小组，切实加强对政务信息公开工作的组织领导，稳步推进政务信息公开工作制度化、规范化、科学化运行。</w:t>
      </w:r>
    </w:p>
    <w:p>
      <w:pPr>
        <w:pStyle w:val="5"/>
        <w:shd w:val="clear" w:color="auto" w:fill="FFFFFF"/>
        <w:spacing w:before="0" w:beforeAutospacing="0" w:after="0" w:afterAutospacing="0" w:line="560" w:lineRule="exact"/>
        <w:ind w:firstLine="618" w:firstLineChars="20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6"/>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206"/>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4" w:type="dxa"/>
            <w:gridSpan w:val="4"/>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shd w:val="clear" w:color="auto" w:fill="auto"/>
            <w:vAlign w:val="center"/>
          </w:tcPr>
          <w:p>
            <w:pPr>
              <w:widowControl/>
              <w:jc w:val="center"/>
              <w:rPr>
                <w:rFonts w:ascii="仿宋_GB2312" w:hAnsi="Calibri" w:eastAsia="仿宋_GB2312" w:cs="Calibri"/>
                <w:kern w:val="0"/>
                <w:szCs w:val="21"/>
              </w:rPr>
            </w:pPr>
            <w:r>
              <w:rPr>
                <w:rFonts w:hint="eastAsia" w:ascii="仿宋_GB2312" w:hAnsi="宋体" w:eastAsia="仿宋_GB2312"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4" w:type="dxa"/>
            <w:gridSpan w:val="4"/>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4" w:type="dxa"/>
            <w:gridSpan w:val="4"/>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24" w:type="dxa"/>
            <w:gridSpan w:val="4"/>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6" w:type="dxa"/>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kern w:val="0"/>
                <w:szCs w:val="21"/>
              </w:rPr>
              <w:t>0</w:t>
            </w:r>
          </w:p>
        </w:tc>
      </w:tr>
    </w:tbl>
    <w:p>
      <w:pPr>
        <w:spacing w:line="580" w:lineRule="exact"/>
        <w:ind w:firstLine="618"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6"/>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52"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ind w:left="-101" w:leftChars="-51" w:right="-101" w:rightChars="-5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pPr>
              <w:widowControl/>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ind w:left="-101" w:leftChars="-51" w:right="-101" w:rightChars="-5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pPr>
              <w:widowControl/>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pPr>
              <w:widowControl/>
              <w:spacing w:after="180"/>
              <w:jc w:val="center"/>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4672"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ind w:left="-101" w:leftChars="-51"/>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ind w:left="-101"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ind w:left="-101" w:leftChars="-51"/>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ind w:left="-101" w:leftChars="-51"/>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ind w:left="-101" w:leftChars="-51"/>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rPr>
                <w:rFonts w:ascii="黑体" w:hAnsi="黑体" w:eastAsia="黑体"/>
                <w:szCs w:val="21"/>
              </w:rPr>
            </w:pPr>
          </w:p>
        </w:tc>
        <w:tc>
          <w:tcPr>
            <w:tcW w:w="2973"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restart"/>
            <w:shd w:val="clear" w:color="auto" w:fill="auto"/>
            <w:tcMar>
              <w:left w:w="108" w:type="dxa"/>
              <w:right w:w="108" w:type="dxa"/>
            </w:tcMar>
            <w:vAlign w:val="center"/>
          </w:tcPr>
          <w:p>
            <w:pPr>
              <w:widowControl/>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pPr>
              <w:widowControl/>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widowControl/>
              <w:rPr>
                <w:rFonts w:ascii="黑体" w:hAnsi="黑体" w:eastAsia="黑体"/>
                <w:kern w:val="0"/>
                <w:szCs w:val="21"/>
              </w:rPr>
            </w:pPr>
          </w:p>
        </w:tc>
        <w:tc>
          <w:tcPr>
            <w:tcW w:w="2973" w:type="dxa"/>
            <w:shd w:val="clear" w:color="auto" w:fill="auto"/>
            <w:vAlign w:val="center"/>
          </w:tcPr>
          <w:p>
            <w:pPr>
              <w:widowControl/>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1699" w:type="dxa"/>
            <w:vMerge w:val="continue"/>
            <w:shd w:val="clear" w:color="auto" w:fill="auto"/>
            <w:tcMar>
              <w:left w:w="108" w:type="dxa"/>
              <w:right w:w="108" w:type="dxa"/>
            </w:tcMar>
            <w:vAlign w:val="center"/>
          </w:tcPr>
          <w:p>
            <w:pPr>
              <w:widowControl/>
              <w:rPr>
                <w:rFonts w:ascii="黑体" w:hAnsi="黑体" w:eastAsia="黑体"/>
                <w:kern w:val="0"/>
                <w:szCs w:val="21"/>
              </w:rPr>
            </w:pPr>
          </w:p>
        </w:tc>
        <w:tc>
          <w:tcPr>
            <w:tcW w:w="2973" w:type="dxa"/>
            <w:shd w:val="clear" w:color="auto" w:fill="auto"/>
            <w:vAlign w:val="center"/>
          </w:tcPr>
          <w:p>
            <w:pPr>
              <w:widowControl/>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rPr>
                <w:rFonts w:ascii="黑体" w:hAnsi="黑体" w:eastAsia="黑体"/>
                <w:szCs w:val="21"/>
              </w:rPr>
            </w:pPr>
          </w:p>
        </w:tc>
        <w:tc>
          <w:tcPr>
            <w:tcW w:w="4672" w:type="dxa"/>
            <w:gridSpan w:val="2"/>
            <w:shd w:val="clear" w:color="auto" w:fill="auto"/>
            <w:tcMar>
              <w:left w:w="108" w:type="dxa"/>
              <w:right w:w="108" w:type="dxa"/>
            </w:tcMar>
            <w:vAlign w:val="center"/>
          </w:tcPr>
          <w:p>
            <w:pPr>
              <w:widowControl/>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pPr>
              <w:widowControl/>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D</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jc w:val="center"/>
              <w:rPr>
                <w:rFonts w:ascii="仿宋_GB2312" w:eastAsia="仿宋_GB2312"/>
                <w:szCs w:val="21"/>
              </w:rPr>
            </w:pPr>
            <w:r>
              <w:rPr>
                <w:rFonts w:hint="eastAsia" w:ascii="仿宋_GB2312" w:eastAsia="仿宋_GB2312"/>
                <w:szCs w:val="21"/>
              </w:rPr>
              <w:t>0</w:t>
            </w:r>
          </w:p>
        </w:tc>
      </w:tr>
    </w:tbl>
    <w:p>
      <w:pPr>
        <w:spacing w:line="580" w:lineRule="exact"/>
        <w:ind w:firstLine="618" w:firstLineChars="200"/>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074" w:type="dxa"/>
            <w:gridSpan w:val="5"/>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行政复议</w:t>
            </w:r>
          </w:p>
        </w:tc>
        <w:tc>
          <w:tcPr>
            <w:tcW w:w="5997" w:type="dxa"/>
            <w:gridSpan w:val="10"/>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604" w:type="dxa"/>
            <w:vMerge w:val="restart"/>
            <w:shd w:val="clear" w:color="auto" w:fill="auto"/>
            <w:tcMar>
              <w:left w:w="108" w:type="dxa"/>
              <w:right w:w="108" w:type="dxa"/>
            </w:tcMar>
            <w:vAlign w:val="center"/>
          </w:tcPr>
          <w:p>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shd w:val="clear" w:color="auto" w:fill="auto"/>
            <w:tcMar>
              <w:left w:w="108" w:type="dxa"/>
              <w:right w:w="108" w:type="dxa"/>
            </w:tcMar>
            <w:vAlign w:val="center"/>
          </w:tcPr>
          <w:p>
            <w:pPr>
              <w:widowControl/>
              <w:ind w:left="-41" w:leftChars="-21" w:right="-125" w:rightChars="-63"/>
              <w:jc w:val="center"/>
              <w:rPr>
                <w:rFonts w:ascii="黑体" w:hAnsi="黑体" w:eastAsia="黑体"/>
              </w:rPr>
            </w:pPr>
            <w:r>
              <w:rPr>
                <w:rFonts w:ascii="黑体" w:hAnsi="黑体" w:eastAsia="黑体"/>
                <w:kern w:val="0"/>
                <w:sz w:val="20"/>
              </w:rPr>
              <w:t>结果纠正</w:t>
            </w:r>
          </w:p>
        </w:tc>
        <w:tc>
          <w:tcPr>
            <w:tcW w:w="604" w:type="dxa"/>
            <w:vMerge w:val="restart"/>
            <w:shd w:val="clear" w:color="auto" w:fill="auto"/>
            <w:tcMar>
              <w:left w:w="108" w:type="dxa"/>
              <w:right w:w="108" w:type="dxa"/>
            </w:tcMar>
            <w:vAlign w:val="center"/>
          </w:tcPr>
          <w:p>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shd w:val="clear" w:color="auto" w:fill="auto"/>
            <w:tcMar>
              <w:left w:w="108" w:type="dxa"/>
              <w:right w:w="108" w:type="dxa"/>
            </w:tcMar>
            <w:vAlign w:val="center"/>
          </w:tcPr>
          <w:p>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shd w:val="clear" w:color="auto" w:fill="auto"/>
            <w:tcMar>
              <w:left w:w="108" w:type="dxa"/>
              <w:right w:w="108" w:type="dxa"/>
            </w:tcMar>
            <w:vAlign w:val="center"/>
          </w:tcPr>
          <w:p>
            <w:pPr>
              <w:widowControl/>
              <w:jc w:val="center"/>
              <w:rPr>
                <w:rFonts w:ascii="黑体" w:hAnsi="黑体" w:eastAsia="黑体"/>
                <w:kern w:val="0"/>
                <w:sz w:val="20"/>
              </w:rPr>
            </w:pPr>
            <w:r>
              <w:rPr>
                <w:rFonts w:ascii="黑体" w:hAnsi="黑体" w:eastAsia="黑体"/>
                <w:kern w:val="0"/>
                <w:sz w:val="20"/>
              </w:rPr>
              <w:t>总</w:t>
            </w:r>
          </w:p>
          <w:p>
            <w:pPr>
              <w:widowControl/>
              <w:jc w:val="center"/>
              <w:rPr>
                <w:rFonts w:ascii="黑体" w:hAnsi="黑体" w:eastAsia="黑体"/>
              </w:rPr>
            </w:pPr>
            <w:r>
              <w:rPr>
                <w:rFonts w:ascii="黑体" w:hAnsi="黑体" w:eastAsia="黑体"/>
                <w:kern w:val="0"/>
                <w:sz w:val="20"/>
              </w:rPr>
              <w:t>计</w:t>
            </w:r>
          </w:p>
        </w:tc>
        <w:tc>
          <w:tcPr>
            <w:tcW w:w="2970" w:type="dxa"/>
            <w:gridSpan w:val="5"/>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未经复议直接起诉</w:t>
            </w:r>
          </w:p>
        </w:tc>
        <w:tc>
          <w:tcPr>
            <w:tcW w:w="3027" w:type="dxa"/>
            <w:gridSpan w:val="5"/>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604" w:type="dxa"/>
            <w:vMerge w:val="continue"/>
            <w:shd w:val="clear" w:color="auto" w:fill="auto"/>
            <w:tcMar>
              <w:left w:w="108" w:type="dxa"/>
              <w:right w:w="108" w:type="dxa"/>
            </w:tcMar>
            <w:vAlign w:val="center"/>
          </w:tcPr>
          <w:p>
            <w:pPr>
              <w:rPr>
                <w:rFonts w:ascii="黑体" w:hAnsi="黑体" w:eastAsia="黑体"/>
                <w:sz w:val="24"/>
              </w:rPr>
            </w:pPr>
          </w:p>
        </w:tc>
        <w:tc>
          <w:tcPr>
            <w:tcW w:w="604" w:type="dxa"/>
            <w:vMerge w:val="continue"/>
            <w:shd w:val="clear" w:color="auto" w:fill="auto"/>
            <w:tcMar>
              <w:left w:w="108" w:type="dxa"/>
              <w:right w:w="108" w:type="dxa"/>
            </w:tcMar>
            <w:vAlign w:val="center"/>
          </w:tcPr>
          <w:p>
            <w:pPr>
              <w:rPr>
                <w:rFonts w:ascii="黑体" w:hAnsi="黑体" w:eastAsia="黑体"/>
                <w:sz w:val="24"/>
              </w:rPr>
            </w:pPr>
          </w:p>
        </w:tc>
        <w:tc>
          <w:tcPr>
            <w:tcW w:w="604" w:type="dxa"/>
            <w:vMerge w:val="continue"/>
            <w:shd w:val="clear" w:color="auto" w:fill="auto"/>
            <w:tcMar>
              <w:left w:w="108" w:type="dxa"/>
              <w:right w:w="108" w:type="dxa"/>
            </w:tcMar>
            <w:vAlign w:val="center"/>
          </w:tcPr>
          <w:p>
            <w:pPr>
              <w:rPr>
                <w:rFonts w:ascii="黑体" w:hAnsi="黑体" w:eastAsia="黑体"/>
                <w:sz w:val="24"/>
              </w:rPr>
            </w:pPr>
          </w:p>
        </w:tc>
        <w:tc>
          <w:tcPr>
            <w:tcW w:w="604" w:type="dxa"/>
            <w:vMerge w:val="continue"/>
            <w:shd w:val="clear" w:color="auto" w:fill="auto"/>
            <w:tcMar>
              <w:left w:w="108" w:type="dxa"/>
              <w:right w:w="108" w:type="dxa"/>
            </w:tcMar>
            <w:vAlign w:val="center"/>
          </w:tcPr>
          <w:p>
            <w:pPr>
              <w:rPr>
                <w:rFonts w:ascii="黑体" w:hAnsi="黑体" w:eastAsia="黑体"/>
                <w:sz w:val="24"/>
              </w:rPr>
            </w:pPr>
          </w:p>
        </w:tc>
        <w:tc>
          <w:tcPr>
            <w:tcW w:w="658" w:type="dxa"/>
            <w:vMerge w:val="continue"/>
            <w:shd w:val="clear" w:color="auto" w:fill="auto"/>
            <w:tcMar>
              <w:left w:w="108" w:type="dxa"/>
              <w:right w:w="108" w:type="dxa"/>
            </w:tcMar>
            <w:vAlign w:val="center"/>
          </w:tcPr>
          <w:p>
            <w:pPr>
              <w:rPr>
                <w:rFonts w:ascii="黑体" w:hAnsi="黑体" w:eastAsia="黑体"/>
                <w:sz w:val="24"/>
              </w:rPr>
            </w:pPr>
          </w:p>
        </w:tc>
        <w:tc>
          <w:tcPr>
            <w:tcW w:w="550" w:type="dxa"/>
            <w:shd w:val="clear" w:color="auto" w:fill="auto"/>
            <w:tcMar>
              <w:left w:w="108" w:type="dxa"/>
              <w:right w:w="108" w:type="dxa"/>
            </w:tcMar>
            <w:vAlign w:val="center"/>
          </w:tcPr>
          <w:p>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shd w:val="clear" w:color="auto" w:fill="auto"/>
            <w:tcMar>
              <w:left w:w="108" w:type="dxa"/>
              <w:right w:w="108" w:type="dxa"/>
            </w:tcMar>
            <w:vAlign w:val="center"/>
          </w:tcPr>
          <w:p>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shd w:val="clear" w:color="auto" w:fill="auto"/>
            <w:tcMar>
              <w:left w:w="108" w:type="dxa"/>
              <w:right w:w="108" w:type="dxa"/>
            </w:tcMar>
            <w:vAlign w:val="center"/>
          </w:tcPr>
          <w:p>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shd w:val="clear" w:color="auto" w:fill="auto"/>
            <w:tcMar>
              <w:left w:w="108" w:type="dxa"/>
              <w:right w:w="108" w:type="dxa"/>
            </w:tcMar>
            <w:vAlign w:val="center"/>
          </w:tcPr>
          <w:p>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c>
          <w:tcPr>
            <w:tcW w:w="605" w:type="dxa"/>
            <w:shd w:val="clear" w:color="auto" w:fill="auto"/>
            <w:tcMar>
              <w:left w:w="108" w:type="dxa"/>
              <w:right w:w="108" w:type="dxa"/>
            </w:tcMar>
            <w:vAlign w:val="center"/>
          </w:tcPr>
          <w:p>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shd w:val="clear" w:color="auto" w:fill="auto"/>
            <w:tcMar>
              <w:left w:w="108" w:type="dxa"/>
              <w:right w:w="108" w:type="dxa"/>
            </w:tcMar>
            <w:vAlign w:val="center"/>
          </w:tcPr>
          <w:p>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shd w:val="clear" w:color="auto" w:fill="auto"/>
            <w:tcMar>
              <w:left w:w="108" w:type="dxa"/>
              <w:right w:w="108" w:type="dxa"/>
            </w:tcMar>
            <w:vAlign w:val="center"/>
          </w:tcPr>
          <w:p>
            <w:pPr>
              <w:widowControl/>
              <w:ind w:left="-165" w:leftChars="-83" w:right="-127" w:rightChars="-64"/>
              <w:jc w:val="center"/>
              <w:rPr>
                <w:rFonts w:ascii="黑体" w:hAnsi="黑体" w:eastAsia="黑体"/>
                <w:kern w:val="0"/>
                <w:sz w:val="20"/>
              </w:rPr>
            </w:pPr>
            <w:r>
              <w:rPr>
                <w:rFonts w:ascii="黑体" w:hAnsi="黑体" w:eastAsia="黑体"/>
                <w:kern w:val="0"/>
                <w:sz w:val="20"/>
              </w:rPr>
              <w:t>其他</w:t>
            </w:r>
          </w:p>
          <w:p>
            <w:pPr>
              <w:widowControl/>
              <w:ind w:left="-165" w:leftChars="-83" w:right="-127" w:rightChars="-64"/>
              <w:jc w:val="center"/>
              <w:rPr>
                <w:rFonts w:ascii="黑体" w:hAnsi="黑体" w:eastAsia="黑体"/>
              </w:rPr>
            </w:pPr>
            <w:r>
              <w:rPr>
                <w:rFonts w:ascii="黑体" w:hAnsi="黑体" w:eastAsia="黑体"/>
                <w:kern w:val="0"/>
                <w:sz w:val="20"/>
              </w:rPr>
              <w:t>结果</w:t>
            </w:r>
          </w:p>
        </w:tc>
        <w:tc>
          <w:tcPr>
            <w:tcW w:w="606" w:type="dxa"/>
            <w:shd w:val="clear" w:color="auto" w:fill="auto"/>
            <w:tcMar>
              <w:left w:w="108" w:type="dxa"/>
              <w:right w:w="108" w:type="dxa"/>
            </w:tcMar>
            <w:vAlign w:val="center"/>
          </w:tcPr>
          <w:p>
            <w:pPr>
              <w:widowControl/>
              <w:ind w:left="-65" w:leftChars="-33" w:right="-99" w:rightChars="-50"/>
              <w:jc w:val="center"/>
              <w:rPr>
                <w:rFonts w:ascii="黑体" w:hAnsi="黑体" w:eastAsia="黑体"/>
              </w:rPr>
            </w:pPr>
            <w:r>
              <w:rPr>
                <w:rFonts w:ascii="黑体" w:hAnsi="黑体" w:eastAsia="黑体"/>
                <w:kern w:val="0"/>
                <w:sz w:val="20"/>
              </w:rPr>
              <w:t>尚未审结</w:t>
            </w:r>
          </w:p>
        </w:tc>
        <w:tc>
          <w:tcPr>
            <w:tcW w:w="606" w:type="dxa"/>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604" w:type="dxa"/>
            <w:shd w:val="clear" w:color="auto" w:fill="auto"/>
            <w:tcMar>
              <w:left w:w="108" w:type="dxa"/>
              <w:right w:w="108" w:type="dxa"/>
            </w:tcMar>
            <w:vAlign w:val="center"/>
          </w:tcPr>
          <w:p>
            <w:pPr>
              <w:widowControl/>
              <w:jc w:val="center"/>
            </w:pPr>
            <w:r>
              <w:rPr>
                <w:rFonts w:hint="eastAsia"/>
              </w:rPr>
              <w:t>0</w:t>
            </w:r>
          </w:p>
        </w:tc>
        <w:tc>
          <w:tcPr>
            <w:tcW w:w="604" w:type="dxa"/>
            <w:shd w:val="clear" w:color="auto" w:fill="auto"/>
            <w:tcMar>
              <w:left w:w="108" w:type="dxa"/>
              <w:right w:w="108" w:type="dxa"/>
            </w:tcMar>
            <w:vAlign w:val="center"/>
          </w:tcPr>
          <w:p>
            <w:pPr>
              <w:widowControl/>
              <w:jc w:val="center"/>
            </w:pPr>
            <w:r>
              <w:rPr>
                <w:rFonts w:hint="eastAsia"/>
              </w:rPr>
              <w:t>0</w:t>
            </w:r>
          </w:p>
        </w:tc>
        <w:tc>
          <w:tcPr>
            <w:tcW w:w="604" w:type="dxa"/>
            <w:shd w:val="clear" w:color="auto" w:fill="auto"/>
            <w:tcMar>
              <w:left w:w="108" w:type="dxa"/>
              <w:right w:w="108" w:type="dxa"/>
            </w:tcMar>
            <w:vAlign w:val="center"/>
          </w:tcPr>
          <w:p>
            <w:pPr>
              <w:widowControl/>
              <w:jc w:val="center"/>
            </w:pPr>
            <w:r>
              <w:rPr>
                <w:rFonts w:hint="eastAsia"/>
              </w:rPr>
              <w:t>0</w:t>
            </w:r>
          </w:p>
        </w:tc>
        <w:tc>
          <w:tcPr>
            <w:tcW w:w="604" w:type="dxa"/>
            <w:shd w:val="clear" w:color="auto" w:fill="auto"/>
            <w:tcMar>
              <w:left w:w="108" w:type="dxa"/>
              <w:right w:w="108" w:type="dxa"/>
            </w:tcMar>
            <w:vAlign w:val="center"/>
          </w:tcPr>
          <w:p>
            <w:pPr>
              <w:widowControl/>
              <w:jc w:val="center"/>
            </w:pPr>
            <w:r>
              <w:rPr>
                <w:rFonts w:hint="eastAsia"/>
              </w:rPr>
              <w:t>0</w:t>
            </w:r>
          </w:p>
        </w:tc>
        <w:tc>
          <w:tcPr>
            <w:tcW w:w="658" w:type="dxa"/>
            <w:shd w:val="clear" w:color="auto" w:fill="auto"/>
            <w:tcMar>
              <w:left w:w="108" w:type="dxa"/>
              <w:right w:w="108" w:type="dxa"/>
            </w:tcMar>
            <w:vAlign w:val="center"/>
          </w:tcPr>
          <w:p>
            <w:pPr>
              <w:widowControl/>
              <w:jc w:val="center"/>
            </w:pPr>
            <w:r>
              <w:rPr>
                <w:rFonts w:hint="eastAsia"/>
              </w:rPr>
              <w:t>0</w:t>
            </w:r>
          </w:p>
        </w:tc>
        <w:tc>
          <w:tcPr>
            <w:tcW w:w="550" w:type="dxa"/>
            <w:shd w:val="clear" w:color="auto" w:fill="auto"/>
            <w:tcMar>
              <w:left w:w="108" w:type="dxa"/>
              <w:right w:w="108" w:type="dxa"/>
            </w:tcMar>
            <w:vAlign w:val="center"/>
          </w:tcPr>
          <w:p>
            <w:pPr>
              <w:widowControl/>
              <w:jc w:val="center"/>
            </w:pPr>
            <w:r>
              <w:rPr>
                <w:rFonts w:hint="eastAsia"/>
              </w:rPr>
              <w:t>0</w:t>
            </w:r>
          </w:p>
        </w:tc>
        <w:tc>
          <w:tcPr>
            <w:tcW w:w="605" w:type="dxa"/>
            <w:shd w:val="clear" w:color="auto" w:fill="auto"/>
            <w:tcMar>
              <w:left w:w="108" w:type="dxa"/>
              <w:right w:w="108" w:type="dxa"/>
            </w:tcMar>
            <w:vAlign w:val="center"/>
          </w:tcPr>
          <w:p>
            <w:pPr>
              <w:widowControl/>
              <w:jc w:val="center"/>
            </w:pPr>
            <w:r>
              <w:rPr>
                <w:rFonts w:hint="eastAsia"/>
              </w:rPr>
              <w:t>0</w:t>
            </w:r>
          </w:p>
        </w:tc>
        <w:tc>
          <w:tcPr>
            <w:tcW w:w="605" w:type="dxa"/>
            <w:shd w:val="clear" w:color="auto" w:fill="auto"/>
            <w:tcMar>
              <w:left w:w="108" w:type="dxa"/>
              <w:right w:w="108" w:type="dxa"/>
            </w:tcMar>
            <w:vAlign w:val="center"/>
          </w:tcPr>
          <w:p>
            <w:pPr>
              <w:widowControl/>
              <w:jc w:val="center"/>
            </w:pPr>
            <w:r>
              <w:rPr>
                <w:rFonts w:hint="eastAsia"/>
              </w:rPr>
              <w:t>0</w:t>
            </w:r>
          </w:p>
        </w:tc>
        <w:tc>
          <w:tcPr>
            <w:tcW w:w="605" w:type="dxa"/>
            <w:shd w:val="clear" w:color="auto" w:fill="auto"/>
            <w:tcMar>
              <w:left w:w="108" w:type="dxa"/>
              <w:right w:w="108" w:type="dxa"/>
            </w:tcMar>
            <w:vAlign w:val="center"/>
          </w:tcPr>
          <w:p>
            <w:pPr>
              <w:widowControl/>
              <w:jc w:val="center"/>
            </w:pPr>
            <w:r>
              <w:rPr>
                <w:rFonts w:hint="eastAsia"/>
              </w:rPr>
              <w:t>0</w:t>
            </w:r>
          </w:p>
        </w:tc>
        <w:tc>
          <w:tcPr>
            <w:tcW w:w="605" w:type="dxa"/>
            <w:shd w:val="clear" w:color="auto" w:fill="auto"/>
            <w:tcMar>
              <w:left w:w="108" w:type="dxa"/>
              <w:right w:w="108" w:type="dxa"/>
            </w:tcMar>
            <w:vAlign w:val="center"/>
          </w:tcPr>
          <w:p>
            <w:pPr>
              <w:widowControl/>
              <w:jc w:val="center"/>
            </w:pPr>
            <w:r>
              <w:rPr>
                <w:rFonts w:hint="eastAsia"/>
              </w:rPr>
              <w:t>0</w:t>
            </w:r>
          </w:p>
        </w:tc>
        <w:tc>
          <w:tcPr>
            <w:tcW w:w="605" w:type="dxa"/>
            <w:shd w:val="clear" w:color="auto" w:fill="auto"/>
            <w:tcMar>
              <w:left w:w="108" w:type="dxa"/>
              <w:right w:w="108" w:type="dxa"/>
            </w:tcMar>
            <w:vAlign w:val="center"/>
          </w:tcPr>
          <w:p>
            <w:pPr>
              <w:widowControl/>
              <w:jc w:val="center"/>
            </w:pPr>
            <w:r>
              <w:rPr>
                <w:rFonts w:hint="eastAsia"/>
              </w:rPr>
              <w:t>0</w:t>
            </w:r>
          </w:p>
        </w:tc>
        <w:tc>
          <w:tcPr>
            <w:tcW w:w="605" w:type="dxa"/>
            <w:shd w:val="clear" w:color="auto" w:fill="auto"/>
            <w:tcMar>
              <w:left w:w="108" w:type="dxa"/>
              <w:right w:w="108" w:type="dxa"/>
            </w:tcMar>
            <w:vAlign w:val="center"/>
          </w:tcPr>
          <w:p>
            <w:pPr>
              <w:widowControl/>
              <w:jc w:val="center"/>
            </w:pPr>
            <w:r>
              <w:rPr>
                <w:rFonts w:hint="eastAsia"/>
              </w:rPr>
              <w:t>0</w:t>
            </w:r>
          </w:p>
        </w:tc>
        <w:tc>
          <w:tcPr>
            <w:tcW w:w="605" w:type="dxa"/>
            <w:shd w:val="clear" w:color="auto" w:fill="auto"/>
            <w:tcMar>
              <w:left w:w="108" w:type="dxa"/>
              <w:right w:w="108" w:type="dxa"/>
            </w:tcMar>
            <w:vAlign w:val="center"/>
          </w:tcPr>
          <w:p>
            <w:pPr>
              <w:widowControl/>
              <w:jc w:val="center"/>
            </w:pPr>
            <w:r>
              <w:rPr>
                <w:rFonts w:hint="eastAsia"/>
              </w:rPr>
              <w:t>0</w:t>
            </w:r>
          </w:p>
        </w:tc>
        <w:tc>
          <w:tcPr>
            <w:tcW w:w="606" w:type="dxa"/>
            <w:shd w:val="clear" w:color="auto" w:fill="auto"/>
            <w:tcMar>
              <w:left w:w="108" w:type="dxa"/>
              <w:right w:w="108" w:type="dxa"/>
            </w:tcMar>
            <w:vAlign w:val="center"/>
          </w:tcPr>
          <w:p>
            <w:pPr>
              <w:widowControl/>
              <w:jc w:val="center"/>
            </w:pPr>
            <w:r>
              <w:rPr>
                <w:rFonts w:hint="eastAsia"/>
              </w:rPr>
              <w:t>0</w:t>
            </w:r>
          </w:p>
        </w:tc>
        <w:tc>
          <w:tcPr>
            <w:tcW w:w="606" w:type="dxa"/>
            <w:shd w:val="clear" w:color="auto" w:fill="auto"/>
            <w:tcMar>
              <w:left w:w="108" w:type="dxa"/>
              <w:right w:w="108" w:type="dxa"/>
            </w:tcMar>
            <w:vAlign w:val="center"/>
          </w:tcPr>
          <w:p>
            <w:pPr>
              <w:widowControl/>
              <w:jc w:val="center"/>
            </w:pPr>
            <w:r>
              <w:rPr>
                <w:rFonts w:hint="eastAsia"/>
              </w:rPr>
              <w:t>0</w:t>
            </w:r>
          </w:p>
        </w:tc>
      </w:tr>
    </w:tbl>
    <w:p>
      <w:pPr>
        <w:pStyle w:val="5"/>
        <w:shd w:val="clear" w:color="auto" w:fill="FFFFFF"/>
        <w:spacing w:before="0" w:beforeAutospacing="0" w:after="0" w:afterAutospacing="0" w:line="560" w:lineRule="exact"/>
        <w:ind w:firstLine="618" w:firstLineChars="200"/>
        <w:jc w:val="both"/>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五、存在的主要问题及改进情况</w:t>
      </w:r>
    </w:p>
    <w:p>
      <w:pPr>
        <w:pStyle w:val="5"/>
        <w:shd w:val="clear" w:color="auto" w:fill="FFFFFF"/>
        <w:spacing w:before="0" w:beforeAutospacing="0" w:after="0" w:afterAutospacing="0" w:line="560" w:lineRule="exact"/>
        <w:ind w:firstLine="618"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局在政府信息公开工作上取得了一定的成效，但也存在一些不足之处，主要表现在：一是信息公开的内容有待进一步丰富，个别栏目信息更新还不够及时；二是工作人员业务能力有待进一步提高，运用微信公众号等政务新媒体宣传方面还需加强</w:t>
      </w:r>
      <w:r>
        <w:rPr>
          <w:rFonts w:hint="eastAsia" w:ascii="仿宋_GB2312" w:hAnsi="仿宋_GB2312" w:eastAsia="仿宋_GB2312" w:cs="仿宋_GB2312"/>
          <w:sz w:val="32"/>
          <w:szCs w:val="32"/>
          <w:shd w:val="clear" w:color="auto" w:fill="FFFFFF"/>
        </w:rPr>
        <w:t>；三是政府信息公开宣传公开力度不够，公众参与度有待进一步提高。</w:t>
      </w:r>
    </w:p>
    <w:p>
      <w:pPr>
        <w:pStyle w:val="5"/>
        <w:shd w:val="clear" w:color="auto" w:fill="FFFFFF"/>
        <w:spacing w:before="0" w:beforeAutospacing="0" w:after="0" w:afterAutospacing="0" w:line="560" w:lineRule="exact"/>
        <w:ind w:firstLine="618" w:firstLineChars="200"/>
        <w:jc w:val="both"/>
        <w:rPr>
          <w:rFonts w:ascii="仿宋_GB2312" w:hAnsi="仿宋_GB2312" w:eastAsia="仿宋_GB2312" w:cs="仿宋_GB2312"/>
          <w:color w:val="0000FF"/>
          <w:kern w:val="2"/>
          <w:sz w:val="32"/>
          <w:szCs w:val="32"/>
        </w:rPr>
      </w:pPr>
      <w:r>
        <w:rPr>
          <w:rFonts w:hint="eastAsia" w:ascii="仿宋_GB2312" w:hAnsi="仿宋_GB2312" w:eastAsia="仿宋_GB2312" w:cs="仿宋_GB2312"/>
          <w:kern w:val="2"/>
          <w:sz w:val="32"/>
          <w:szCs w:val="32"/>
        </w:rPr>
        <w:t>针对存在问题，我局将从以下进行努力改进：</w:t>
      </w:r>
      <w:r>
        <w:rPr>
          <w:rFonts w:hint="eastAsia" w:ascii="仿宋_GB2312" w:hAnsi="仿宋_GB2312" w:eastAsia="仿宋_GB2312" w:cs="仿宋_GB2312"/>
          <w:sz w:val="32"/>
          <w:szCs w:val="32"/>
          <w:shd w:val="clear" w:color="auto" w:fill="FFFFFF"/>
        </w:rPr>
        <w:t>一是提升信息公开实效。以群众普遍关心的重点内容为导向，坚持民之所需，加强相关信息的收集、整理和公开，确保公开信息的实用性和便民性。二是抓好政府网站建设。加强维护门户网站和新媒体平台建设，及时公开各类信息，重点加大信息上传力度，主动接受群众监督，让群众不断增强获得感和满意感。三是提升信息公开服务。进一步拓宽信息公开渠道，创新公开方法，丰富公开形式，通过动漫、图表、图片等多元化方式展示内容，使公开信息可视、可读、可感，为群众</w:t>
      </w:r>
      <w:r>
        <w:rPr>
          <w:rFonts w:hint="eastAsia" w:ascii="仿宋_GB2312" w:hAnsi="仿宋_GB2312" w:eastAsia="仿宋_GB2312" w:cs="仿宋_GB2312"/>
          <w:color w:val="000000"/>
          <w:sz w:val="32"/>
          <w:szCs w:val="32"/>
          <w:shd w:val="clear" w:color="auto" w:fill="FFFFFF"/>
        </w:rPr>
        <w:t>提供更加方便快捷的信息公开服务。</w:t>
      </w:r>
    </w:p>
    <w:p>
      <w:pPr>
        <w:pStyle w:val="5"/>
        <w:shd w:val="clear" w:color="auto" w:fill="FFFFFF"/>
        <w:spacing w:before="0" w:beforeAutospacing="0" w:after="0" w:afterAutospacing="0" w:line="560" w:lineRule="exact"/>
        <w:ind w:firstLine="618" w:firstLineChars="200"/>
        <w:jc w:val="both"/>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六、其他需要报告的事项</w:t>
      </w:r>
    </w:p>
    <w:p>
      <w:pPr>
        <w:pStyle w:val="5"/>
        <w:shd w:val="clear" w:color="auto" w:fill="FFFFFF"/>
        <w:spacing w:before="0" w:beforeAutospacing="0" w:after="0" w:afterAutospacing="0" w:line="560" w:lineRule="exact"/>
        <w:ind w:firstLine="617"/>
        <w:rPr>
          <w:rFonts w:ascii="Ã¥Â¾Â®Ã¨Â½Â¯Ã©â€ºâ€¦Ã©Â»â€˜" w:hAnsi="Ã¥Â¾Â®Ã¨Â½Â¯Ã©â€ºâ€¦Ã©Â»â€˜" w:eastAsia="Ã¥Â¾Â®Ã¨Â½Â¯Ã©â€ºâ€¦Ã©Â»â€˜" w:cs="Ã¥Â¾Â®Ã¨Â½Â¯Ã©â€ºâ€¦Ã©Â»â€˜"/>
          <w:color w:val="000000"/>
          <w:sz w:val="19"/>
          <w:szCs w:val="19"/>
        </w:rPr>
      </w:pPr>
      <w:r>
        <w:rPr>
          <w:rFonts w:ascii="楷体_GB2312" w:hAnsi="Ã¥Â¾Â®Ã¨Â½Â¯Ã©â€ºâ€¦Ã©Â»â€˜" w:eastAsia="楷体_GB2312" w:cs="楷体_GB2312"/>
          <w:color w:val="000000"/>
          <w:sz w:val="32"/>
          <w:szCs w:val="32"/>
          <w:shd w:val="clear" w:color="auto" w:fill="FFFFFF"/>
        </w:rPr>
        <w:t>（一）收取信息处理费的情况</w:t>
      </w:r>
    </w:p>
    <w:p>
      <w:pPr>
        <w:pStyle w:val="5"/>
        <w:shd w:val="clear" w:color="auto" w:fill="FFFFFF"/>
        <w:spacing w:before="0" w:beforeAutospacing="0" w:after="0" w:afterAutospacing="0" w:line="560" w:lineRule="exact"/>
        <w:ind w:firstLine="618" w:firstLineChars="200"/>
        <w:rPr>
          <w:rFonts w:ascii="Ã¥Â¾Â®Ã¨Â½Â¯Ã©â€ºâ€¦Ã©Â»â€˜" w:hAnsi="Ã¥Â¾Â®Ã¨Â½Â¯Ã©â€ºâ€¦Ã©Â»â€˜" w:eastAsia="Ã¥Â¾Â®Ã¨Â½Â¯Ã©â€ºâ€¦Ã©Â»â€˜" w:cs="Ã¥Â¾Â®Ã¨Â½Â¯Ã©â€ºâ€¦Ã©Â»â€˜"/>
          <w:color w:val="000000"/>
          <w:sz w:val="19"/>
          <w:szCs w:val="19"/>
        </w:rPr>
      </w:pPr>
      <w:r>
        <w:rPr>
          <w:rFonts w:ascii="仿宋_GB2312" w:hAnsi="Ã¥Â¾Â®Ã¨Â½Â¯Ã©â€ºâ€¦Ã©Â»â€˜" w:eastAsia="仿宋_GB2312" w:cs="仿宋_GB2312"/>
          <w:color w:val="000000"/>
          <w:sz w:val="32"/>
          <w:szCs w:val="32"/>
          <w:shd w:val="clear" w:color="auto" w:fill="FFFFFF"/>
        </w:rPr>
        <w:t>本年度</w:t>
      </w:r>
      <w:r>
        <w:rPr>
          <w:rFonts w:hint="eastAsia" w:ascii="仿宋_GB2312" w:hAnsi="Calibri" w:eastAsia="仿宋_GB2312" w:cs="仿宋_GB2312"/>
          <w:color w:val="000000"/>
          <w:sz w:val="32"/>
          <w:szCs w:val="32"/>
          <w:shd w:val="clear" w:color="auto" w:fill="FFFFFF"/>
        </w:rPr>
        <w:t>我局</w:t>
      </w:r>
      <w:r>
        <w:rPr>
          <w:rFonts w:ascii="仿宋_GB2312" w:hAnsi="Ã¥Â¾Â®Ã¨Â½Â¯Ã©â€ºâ€¦Ã©Â»â€˜" w:eastAsia="仿宋_GB2312" w:cs="仿宋_GB2312"/>
          <w:color w:val="000000"/>
          <w:sz w:val="32"/>
          <w:szCs w:val="32"/>
          <w:shd w:val="clear" w:color="auto" w:fill="FFFFFF"/>
        </w:rPr>
        <w:t>依申请公开政府信息未收取任何费用。</w:t>
      </w:r>
    </w:p>
    <w:p>
      <w:pPr>
        <w:pStyle w:val="5"/>
        <w:shd w:val="clear" w:color="auto" w:fill="FFFFFF"/>
        <w:spacing w:before="0" w:beforeAutospacing="0" w:after="0" w:afterAutospacing="0" w:line="560" w:lineRule="exact"/>
        <w:ind w:firstLine="617"/>
        <w:rPr>
          <w:rFonts w:ascii="Ã¥Â¾Â®Ã¨Â½Â¯Ã©â€ºâ€¦Ã©Â»â€˜" w:hAnsi="Ã¥Â¾Â®Ã¨Â½Â¯Ã©â€ºâ€¦Ã©Â»â€˜" w:eastAsia="Ã¥Â¾Â®Ã¨Â½Â¯Ã©â€ºâ€¦Ã©Â»â€˜" w:cs="Ã¥Â¾Â®Ã¨Â½Â¯Ã©â€ºâ€¦Ã©Â»â€˜"/>
          <w:color w:val="000000"/>
          <w:sz w:val="19"/>
          <w:szCs w:val="19"/>
        </w:rPr>
      </w:pPr>
      <w:r>
        <w:rPr>
          <w:rFonts w:hint="eastAsia" w:ascii="楷体_GB2312" w:hAnsi="Ã¥Â¾Â®Ã¨Â½Â¯Ã©â€ºâ€¦Ã©Â»â€˜" w:eastAsia="楷体_GB2312" w:cs="楷体_GB2312"/>
          <w:color w:val="000000"/>
          <w:sz w:val="32"/>
          <w:szCs w:val="32"/>
          <w:shd w:val="clear" w:color="auto" w:fill="FFFFFF"/>
        </w:rPr>
        <w:t>（二）落实上级年度政务公开工作要点情况</w:t>
      </w:r>
    </w:p>
    <w:p>
      <w:pPr>
        <w:pStyle w:val="5"/>
        <w:shd w:val="clear" w:color="auto" w:fill="FFFFFF"/>
        <w:spacing w:before="0" w:beforeAutospacing="0" w:after="0" w:afterAutospacing="0" w:line="560" w:lineRule="exact"/>
        <w:ind w:firstLine="618" w:firstLineChars="200"/>
        <w:rPr>
          <w:rFonts w:ascii="Ã¥Â¾Â®Ã¨Â½Â¯Ã©â€ºâ€¦Ã©Â»â€˜" w:hAnsi="Ã¥Â¾Â®Ã¨Â½Â¯Ã©â€ºâ€¦Ã©Â»â€˜" w:eastAsia="Ã¥Â¾Â®Ã¨Â½Â¯Ã©â€ºâ€¦Ã©Â»â€˜" w:cs="Ã¥Â¾Â®Ã¨Â½Â¯Ã©â€ºâ€¦Ã©Â»â€˜"/>
          <w:color w:val="000000"/>
          <w:sz w:val="19"/>
          <w:szCs w:val="19"/>
        </w:rPr>
      </w:pPr>
      <w:r>
        <w:rPr>
          <w:rFonts w:hint="eastAsia" w:ascii="仿宋_GB2312" w:hAnsi="Calibri" w:eastAsia="仿宋_GB2312" w:cs="仿宋_GB2312"/>
          <w:color w:val="000000"/>
          <w:sz w:val="32"/>
          <w:szCs w:val="32"/>
          <w:shd w:val="clear" w:color="auto" w:fill="FFFFFF"/>
        </w:rPr>
        <w:t>本年度我局</w:t>
      </w:r>
      <w:r>
        <w:rPr>
          <w:rFonts w:hint="eastAsia" w:ascii="仿宋_GB2312" w:hAnsi="Ã¥Â¾Â®Ã¨Â½Â¯Ã©â€ºâ€¦Ã©Â»â€˜" w:eastAsia="仿宋_GB2312" w:cs="仿宋_GB2312"/>
          <w:color w:val="000000"/>
          <w:sz w:val="32"/>
          <w:szCs w:val="32"/>
          <w:shd w:val="clear" w:color="auto" w:fill="FFFFFF"/>
        </w:rPr>
        <w:t>严格按照上级年度政务公开工作要点开展工作，狠抓任务落实，确保完成各项工作目标。</w:t>
      </w:r>
    </w:p>
    <w:p>
      <w:pPr>
        <w:pStyle w:val="5"/>
        <w:shd w:val="clear" w:color="auto" w:fill="FFFFFF"/>
        <w:spacing w:before="0" w:beforeAutospacing="0" w:after="0" w:afterAutospacing="0" w:line="560" w:lineRule="exact"/>
        <w:ind w:firstLine="617"/>
        <w:rPr>
          <w:rFonts w:hint="eastAsia" w:ascii="Ã¥Â¾Â®Ã¨Â½Â¯Ã©â€ºâ€¦Ã©Â»â€˜" w:hAnsi="Ã¥Â¾Â®Ã¨Â½Â¯Ã©â€ºâ€¦Ã©Â»â€˜" w:eastAsia="楷体_GB2312" w:cs="Ã¥Â¾Â®Ã¨Â½Â¯Ã©â€ºâ€¦Ã©Â»â€˜"/>
          <w:color w:val="000000"/>
          <w:sz w:val="19"/>
          <w:szCs w:val="19"/>
          <w:lang w:eastAsia="zh-CN"/>
        </w:rPr>
      </w:pPr>
      <w:r>
        <w:rPr>
          <w:rFonts w:hint="eastAsia" w:ascii="楷体_GB2312" w:hAnsi="Ã¥Â¾Â®Ã¨Â½Â¯Ã©â€ºâ€¦Ã©Â»â€˜" w:eastAsia="楷体_GB2312" w:cs="楷体_GB2312"/>
          <w:color w:val="000000"/>
          <w:sz w:val="32"/>
          <w:szCs w:val="32"/>
          <w:shd w:val="clear" w:color="auto" w:fill="FFFFFF"/>
        </w:rPr>
        <w:t>（三）人大代表建议和政协委员提案</w:t>
      </w:r>
      <w:r>
        <w:rPr>
          <w:rFonts w:hint="eastAsia" w:ascii="楷体_GB2312" w:hAnsi="Ã¥Â¾Â®Ã¨Â½Â¯Ã©â€ºâ€¦Ã©Â»â€˜" w:eastAsia="楷体_GB2312" w:cs="楷体_GB2312"/>
          <w:color w:val="000000"/>
          <w:sz w:val="32"/>
          <w:szCs w:val="32"/>
          <w:shd w:val="clear" w:color="auto" w:fill="FFFFFF"/>
          <w:lang w:val="en-US" w:eastAsia="zh-CN"/>
        </w:rPr>
        <w:t>办理</w:t>
      </w:r>
      <w:bookmarkStart w:id="10" w:name="_GoBack"/>
      <w:bookmarkEnd w:id="10"/>
      <w:r>
        <w:rPr>
          <w:rFonts w:hint="eastAsia" w:ascii="楷体_GB2312" w:hAnsi="Ã¥Â¾Â®Ã¨Â½Â¯Ã©â€ºâ€¦Ã©Â»â€˜" w:eastAsia="楷体_GB2312" w:cs="楷体_GB2312"/>
          <w:color w:val="000000"/>
          <w:sz w:val="32"/>
          <w:szCs w:val="32"/>
          <w:shd w:val="clear" w:color="auto" w:fill="FFFFFF"/>
          <w:lang w:val="en-US" w:eastAsia="zh-CN"/>
        </w:rPr>
        <w:t>结果公开情况</w:t>
      </w:r>
    </w:p>
    <w:p>
      <w:pPr>
        <w:pStyle w:val="5"/>
        <w:shd w:val="clear" w:color="auto" w:fill="FFFFFF"/>
        <w:spacing w:before="0" w:beforeAutospacing="0" w:after="0" w:afterAutospacing="0" w:line="560" w:lineRule="exact"/>
        <w:ind w:firstLine="597"/>
        <w:rPr>
          <w:rFonts w:ascii="仿宋_GB2312" w:eastAsia="仿宋_GB2312" w:cs="仿宋_GB2312"/>
          <w:color w:val="000000"/>
          <w:sz w:val="31"/>
          <w:szCs w:val="31"/>
        </w:rPr>
      </w:pPr>
      <w:r>
        <w:rPr>
          <w:rFonts w:hint="eastAsia" w:ascii="仿宋_GB2312" w:eastAsia="仿宋_GB2312" w:cs="仿宋_GB2312"/>
          <w:color w:val="000000"/>
          <w:sz w:val="31"/>
          <w:szCs w:val="31"/>
        </w:rPr>
        <w:t>本年度</w:t>
      </w:r>
      <w:r>
        <w:rPr>
          <w:rFonts w:hint="eastAsia" w:ascii="仿宋_GB2312" w:hAnsi="Calibri" w:eastAsia="仿宋_GB2312" w:cs="仿宋_GB2312"/>
          <w:color w:val="000000"/>
          <w:sz w:val="32"/>
          <w:szCs w:val="32"/>
          <w:shd w:val="clear" w:color="auto" w:fill="FFFFFF"/>
        </w:rPr>
        <w:t>我局</w:t>
      </w:r>
      <w:r>
        <w:rPr>
          <w:rFonts w:hint="eastAsia" w:ascii="仿宋_GB2312" w:eastAsia="仿宋_GB2312" w:cs="仿宋_GB2312"/>
          <w:color w:val="000000"/>
          <w:sz w:val="31"/>
          <w:szCs w:val="31"/>
        </w:rPr>
        <w:t>承办市政协十一届二次会议提案5件，区十三届人大二次会议代表建议6件，区政协十届二次会议提案6件。主要涉及农业发展和美丽乡村建设等方面，所有承办的建议提案均按规定进行答复并主动</w:t>
      </w:r>
      <w:r>
        <w:rPr>
          <w:rFonts w:hint="eastAsia" w:ascii="仿宋_GB2312" w:eastAsia="仿宋_GB2312" w:cs="仿宋_GB2312"/>
          <w:color w:val="000000"/>
          <w:sz w:val="31"/>
          <w:szCs w:val="31"/>
          <w:lang w:val="en-US" w:eastAsia="zh-CN"/>
        </w:rPr>
        <w:t>在台儿庄区人民政府网站建议提案专栏</w:t>
      </w:r>
      <w:r>
        <w:rPr>
          <w:rFonts w:hint="eastAsia" w:ascii="仿宋_GB2312" w:eastAsia="仿宋_GB2312" w:cs="仿宋_GB2312"/>
          <w:color w:val="000000"/>
          <w:sz w:val="31"/>
          <w:szCs w:val="31"/>
        </w:rPr>
        <w:t>进行了公开。</w:t>
      </w:r>
    </w:p>
    <w:p>
      <w:pPr>
        <w:pStyle w:val="5"/>
        <w:shd w:val="clear" w:color="auto" w:fill="FFFFFF"/>
        <w:spacing w:before="0" w:beforeAutospacing="0" w:after="0" w:afterAutospacing="0" w:line="560" w:lineRule="exact"/>
        <w:ind w:firstLine="617"/>
        <w:rPr>
          <w:rFonts w:ascii="Ã¥Â¾Â®Ã¨Â½Â¯Ã©â€ºâ€¦Ã©Â»â€˜" w:hAnsi="Ã¥Â¾Â®Ã¨Â½Â¯Ã©â€ºâ€¦Ã©Â»â€˜" w:eastAsia="Ã¥Â¾Â®Ã¨Â½Â¯Ã©â€ºâ€¦Ã©Â»â€˜" w:cs="Ã¥Â¾Â®Ã¨Â½Â¯Ã©â€ºâ€¦Ã©Â»â€˜"/>
          <w:color w:val="000000"/>
          <w:sz w:val="19"/>
          <w:szCs w:val="19"/>
        </w:rPr>
      </w:pPr>
      <w:r>
        <w:rPr>
          <w:rFonts w:hint="eastAsia" w:ascii="楷体_GB2312" w:hAnsi="Ã¥Â¾Â®Ã¨Â½Â¯Ã©â€ºâ€¦Ã©Â»â€˜" w:eastAsia="楷体_GB2312" w:cs="楷体_GB2312"/>
          <w:color w:val="000000"/>
          <w:sz w:val="32"/>
          <w:szCs w:val="32"/>
          <w:shd w:val="clear" w:color="auto" w:fill="FFFFFF"/>
        </w:rPr>
        <w:t>（四）本行政机关年度政务公开工作创新情况</w:t>
      </w:r>
    </w:p>
    <w:p>
      <w:pPr>
        <w:pStyle w:val="5"/>
        <w:shd w:val="clear" w:color="auto" w:fill="FFFFFF"/>
        <w:spacing w:before="0" w:beforeAutospacing="0" w:after="0" w:afterAutospacing="0" w:line="560" w:lineRule="exact"/>
        <w:ind w:firstLine="618" w:firstLineChars="200"/>
        <w:rPr>
          <w:rFonts w:ascii="Ã¥Â¾Â®Ã¨Â½Â¯Ã©â€ºâ€¦Ã©Â»â€˜" w:hAnsi="Ã¥Â¾Â®Ã¨Â½Â¯Ã©â€ºâ€¦Ã©Â»â€˜" w:eastAsia="Ã¥Â¾Â®Ã¨Â½Â¯Ã©â€ºâ€¦Ã©Â»â€˜" w:cs="Ã¥Â¾Â®Ã¨Â½Â¯Ã©â€ºâ€¦Ã©Â»â€˜"/>
          <w:color w:val="000000"/>
          <w:sz w:val="19"/>
          <w:szCs w:val="19"/>
        </w:rPr>
      </w:pPr>
      <w:r>
        <w:rPr>
          <w:rFonts w:hint="eastAsia" w:ascii="仿宋_GB2312" w:hAnsi="Ã¥Â¾Â®Ã¨Â½Â¯Ã©â€ºâ€¦Ã©Â»â€˜" w:eastAsia="仿宋_GB2312" w:cs="仿宋_GB2312"/>
          <w:color w:val="000000"/>
          <w:sz w:val="32"/>
          <w:szCs w:val="32"/>
          <w:shd w:val="clear" w:color="auto" w:fill="FFFFFF"/>
        </w:rPr>
        <w:t>本年度</w:t>
      </w:r>
      <w:r>
        <w:rPr>
          <w:rFonts w:hint="eastAsia" w:ascii="仿宋_GB2312" w:hAnsi="Calibri" w:eastAsia="仿宋_GB2312" w:cs="仿宋_GB2312"/>
          <w:color w:val="000000"/>
          <w:sz w:val="32"/>
          <w:szCs w:val="32"/>
          <w:shd w:val="clear" w:color="auto" w:fill="FFFFFF"/>
        </w:rPr>
        <w:t>我局</w:t>
      </w:r>
      <w:r>
        <w:rPr>
          <w:rFonts w:hint="eastAsia" w:ascii="仿宋_GB2312" w:hAnsi="Ã¥Â¾Â®Ã¨Â½Â¯Ã©â€ºâ€¦Ã©Â»â€˜" w:eastAsia="仿宋_GB2312" w:cs="仿宋_GB2312"/>
          <w:color w:val="000000"/>
          <w:sz w:val="32"/>
          <w:szCs w:val="32"/>
          <w:shd w:val="clear" w:color="auto" w:fill="FFFFFF"/>
        </w:rPr>
        <w:t>依托政府门户网站，积极发布农业农村领域动态和政策措施，通过“台儿庄农业”微信公众号，多渠道开展政务公开工作，使政务公开的形式呈现灵活多样，提升群众直观感受。</w:t>
      </w:r>
    </w:p>
    <w:p>
      <w:pPr>
        <w:pStyle w:val="5"/>
        <w:shd w:val="clear" w:color="auto" w:fill="FFFFFF"/>
        <w:spacing w:before="0" w:beforeAutospacing="0" w:after="0" w:afterAutospacing="0" w:line="560" w:lineRule="exact"/>
        <w:ind w:firstLine="617"/>
        <w:rPr>
          <w:rFonts w:ascii="Ã¥Â¾Â®Ã¨Â½Â¯Ã©â€ºâ€¦Ã©Â»â€˜" w:hAnsi="Ã¥Â¾Â®Ã¨Â½Â¯Ã©â€ºâ€¦Ã©Â»â€˜" w:eastAsia="Ã¥Â¾Â®Ã¨Â½Â¯Ã©â€ºâ€¦Ã©Â»â€˜" w:cs="Ã¥Â¾Â®Ã¨Â½Â¯Ã©â€ºâ€¦Ã©Â»â€˜"/>
          <w:color w:val="000000"/>
          <w:sz w:val="19"/>
          <w:szCs w:val="19"/>
        </w:rPr>
      </w:pPr>
      <w:r>
        <w:rPr>
          <w:rFonts w:hint="eastAsia" w:ascii="楷体_GB2312" w:hAnsi="Ã¥Â¾Â®Ã¨Â½Â¯Ã©â€ºâ€¦Ã©Â»â€˜" w:eastAsia="楷体_GB2312" w:cs="楷体_GB2312"/>
          <w:color w:val="000000"/>
          <w:sz w:val="32"/>
          <w:szCs w:val="32"/>
          <w:shd w:val="clear" w:color="auto" w:fill="FFFFFF"/>
        </w:rPr>
        <w:t>（五）本行政机关政府信息公开工作年度报告数据统计需要说明的事项</w:t>
      </w:r>
    </w:p>
    <w:p>
      <w:pPr>
        <w:pStyle w:val="5"/>
        <w:shd w:val="clear" w:color="auto" w:fill="FFFFFF"/>
        <w:spacing w:before="0" w:beforeAutospacing="0" w:after="0" w:afterAutospacing="0" w:line="560" w:lineRule="exact"/>
        <w:ind w:firstLine="618" w:firstLineChars="200"/>
        <w:rPr>
          <w:rFonts w:ascii="Ã¥Â¾Â®Ã¨Â½Â¯Ã©â€ºâ€¦Ã©Â»â€˜" w:hAnsi="Ã¥Â¾Â®Ã¨Â½Â¯Ã©â€ºâ€¦Ã©Â»â€˜" w:eastAsia="Ã¥Â¾Â®Ã¨Â½Â¯Ã©â€ºâ€¦Ã©Â»â€˜" w:cs="Ã¥Â¾Â®Ã¨Â½Â¯Ã©â€ºâ€¦Ã©Â»â€˜"/>
          <w:color w:val="000000"/>
          <w:sz w:val="19"/>
          <w:szCs w:val="19"/>
        </w:rPr>
      </w:pPr>
      <w:r>
        <w:rPr>
          <w:rFonts w:hint="eastAsia" w:ascii="仿宋_GB2312" w:eastAsia="仿宋_GB2312"/>
          <w:color w:val="000000"/>
          <w:sz w:val="32"/>
          <w:szCs w:val="32"/>
        </w:rPr>
        <w:t>报告中所列数据的统计期限自</w:t>
      </w:r>
      <w:r>
        <w:rPr>
          <w:rFonts w:hint="eastAsia" w:ascii="仿宋_GB2312" w:hAnsi="Calibri" w:eastAsia="仿宋_GB2312"/>
          <w:color w:val="000000"/>
          <w:sz w:val="32"/>
          <w:szCs w:val="32"/>
        </w:rPr>
        <w:t>202</w:t>
      </w:r>
      <w:r>
        <w:rPr>
          <w:rFonts w:ascii="仿宋_GB2312" w:hAnsi="Calibri" w:eastAsia="仿宋_GB2312"/>
          <w:color w:val="000000"/>
          <w:sz w:val="32"/>
          <w:szCs w:val="32"/>
        </w:rPr>
        <w:t>3</w:t>
      </w:r>
      <w:r>
        <w:rPr>
          <w:rFonts w:hint="eastAsia" w:ascii="仿宋_GB2312" w:eastAsia="仿宋_GB2312"/>
          <w:color w:val="000000"/>
          <w:sz w:val="32"/>
          <w:szCs w:val="32"/>
        </w:rPr>
        <w:t>年</w:t>
      </w:r>
      <w:r>
        <w:rPr>
          <w:rFonts w:hint="eastAsia" w:ascii="仿宋_GB2312" w:hAnsi="Calibri" w:eastAsia="仿宋_GB2312"/>
          <w:color w:val="000000"/>
          <w:sz w:val="32"/>
          <w:szCs w:val="32"/>
        </w:rPr>
        <w:t>1</w:t>
      </w:r>
      <w:r>
        <w:rPr>
          <w:rFonts w:hint="eastAsia" w:ascii="仿宋_GB2312" w:eastAsia="仿宋_GB2312"/>
          <w:color w:val="000000"/>
          <w:sz w:val="32"/>
          <w:szCs w:val="32"/>
        </w:rPr>
        <w:t>月</w:t>
      </w:r>
      <w:r>
        <w:rPr>
          <w:rFonts w:hint="eastAsia" w:ascii="仿宋_GB2312" w:hAnsi="Calibri" w:eastAsia="仿宋_GB2312"/>
          <w:color w:val="000000"/>
          <w:sz w:val="32"/>
          <w:szCs w:val="32"/>
        </w:rPr>
        <w:t>1</w:t>
      </w:r>
      <w:r>
        <w:rPr>
          <w:rFonts w:hint="eastAsia" w:ascii="仿宋_GB2312" w:eastAsia="仿宋_GB2312"/>
          <w:color w:val="000000"/>
          <w:sz w:val="32"/>
          <w:szCs w:val="32"/>
        </w:rPr>
        <w:t>日起至</w:t>
      </w:r>
      <w:r>
        <w:rPr>
          <w:rFonts w:hint="eastAsia" w:ascii="仿宋_GB2312" w:hAnsi="Calibri" w:eastAsia="仿宋_GB2312"/>
          <w:color w:val="000000"/>
          <w:sz w:val="32"/>
          <w:szCs w:val="32"/>
        </w:rPr>
        <w:t>202</w:t>
      </w:r>
      <w:r>
        <w:rPr>
          <w:rFonts w:ascii="仿宋_GB2312" w:hAnsi="Calibri" w:eastAsia="仿宋_GB2312"/>
          <w:color w:val="000000"/>
          <w:sz w:val="32"/>
          <w:szCs w:val="32"/>
        </w:rPr>
        <w:t>3</w:t>
      </w:r>
      <w:r>
        <w:rPr>
          <w:rFonts w:hint="eastAsia" w:ascii="仿宋_GB2312" w:eastAsia="仿宋_GB2312"/>
          <w:color w:val="000000"/>
          <w:sz w:val="32"/>
          <w:szCs w:val="32"/>
        </w:rPr>
        <w:t>年</w:t>
      </w:r>
      <w:r>
        <w:rPr>
          <w:rFonts w:hint="eastAsia" w:ascii="仿宋_GB2312" w:hAnsi="Calibri" w:eastAsia="仿宋_GB2312"/>
          <w:color w:val="000000"/>
          <w:sz w:val="32"/>
          <w:szCs w:val="32"/>
        </w:rPr>
        <w:t>12</w:t>
      </w:r>
      <w:r>
        <w:rPr>
          <w:rFonts w:hint="eastAsia" w:ascii="仿宋_GB2312" w:eastAsia="仿宋_GB2312"/>
          <w:color w:val="000000"/>
          <w:sz w:val="32"/>
          <w:szCs w:val="32"/>
        </w:rPr>
        <w:t>月</w:t>
      </w:r>
      <w:r>
        <w:rPr>
          <w:rFonts w:hint="eastAsia" w:ascii="仿宋_GB2312" w:hAnsi="Calibri" w:eastAsia="仿宋_GB2312"/>
          <w:color w:val="000000"/>
          <w:sz w:val="32"/>
          <w:szCs w:val="32"/>
        </w:rPr>
        <w:t>31</w:t>
      </w:r>
      <w:r>
        <w:rPr>
          <w:rFonts w:hint="eastAsia" w:ascii="仿宋_GB2312" w:eastAsia="仿宋_GB2312"/>
          <w:color w:val="000000"/>
          <w:sz w:val="32"/>
          <w:szCs w:val="32"/>
        </w:rPr>
        <w:t>日止。</w:t>
      </w:r>
    </w:p>
    <w:p>
      <w:pPr>
        <w:pStyle w:val="5"/>
        <w:shd w:val="clear" w:color="auto" w:fill="FFFFFF"/>
        <w:spacing w:before="0" w:beforeAutospacing="0" w:after="0" w:afterAutospacing="0" w:line="560" w:lineRule="exact"/>
        <w:ind w:firstLine="617"/>
        <w:rPr>
          <w:rFonts w:ascii="Ã¥Â¾Â®Ã¨Â½Â¯Ã©â€ºâ€¦Ã©Â»â€˜" w:hAnsi="Ã¥Â¾Â®Ã¨Â½Â¯Ã©â€ºâ€¦Ã©Â»â€˜" w:eastAsia="Ã¥Â¾Â®Ã¨Â½Â¯Ã©â€ºâ€¦Ã©Â»â€˜" w:cs="Ã¥Â¾Â®Ã¨Â½Â¯Ã©â€ºâ€¦Ã©Â»â€˜"/>
          <w:color w:val="000000"/>
          <w:sz w:val="19"/>
          <w:szCs w:val="19"/>
        </w:rPr>
      </w:pPr>
      <w:r>
        <w:rPr>
          <w:rFonts w:hint="eastAsia" w:ascii="楷体_GB2312" w:hAnsi="Ã¥Â¾Â®Ã¨Â½Â¯Ã©â€ºâ€¦Ã©Â»â€˜" w:eastAsia="楷体_GB2312" w:cs="楷体_GB2312"/>
          <w:color w:val="000000"/>
          <w:sz w:val="32"/>
          <w:szCs w:val="32"/>
          <w:shd w:val="clear" w:color="auto" w:fill="FFFFFF"/>
        </w:rPr>
        <w:t>（六）其他需要报告事项</w:t>
      </w:r>
    </w:p>
    <w:p>
      <w:pPr>
        <w:pStyle w:val="5"/>
        <w:shd w:val="clear" w:color="auto" w:fill="FFFFFF"/>
        <w:spacing w:before="0" w:beforeAutospacing="0" w:after="0" w:afterAutospacing="0" w:line="560" w:lineRule="exact"/>
        <w:ind w:firstLine="617"/>
        <w:rPr>
          <w:rFonts w:hint="eastAsia" w:ascii="仿宋_GB2312" w:hAnsi="Ã¥Â¾Â®Ã¨Â½Â¯Ã©â€ºâ€¦Ã©Â»â€˜" w:eastAsia="仿宋_GB2312" w:cs="仿宋_GB2312"/>
          <w:color w:val="000000"/>
          <w:sz w:val="32"/>
          <w:szCs w:val="32"/>
          <w:shd w:val="clear" w:color="auto" w:fill="FFFFFF"/>
        </w:rPr>
      </w:pPr>
      <w:r>
        <w:rPr>
          <w:rFonts w:hint="eastAsia" w:ascii="仿宋_GB2312" w:hAnsi="Ã¥Â¾Â®Ã¨Â½Â¯Ã©â€ºâ€¦Ã©Â»â€˜" w:eastAsia="仿宋_GB2312" w:cs="仿宋_GB2312"/>
          <w:color w:val="000000"/>
          <w:sz w:val="32"/>
          <w:szCs w:val="32"/>
          <w:shd w:val="clear" w:color="auto" w:fill="FFFFFF"/>
        </w:rPr>
        <w:t>本年度</w:t>
      </w:r>
      <w:r>
        <w:rPr>
          <w:rFonts w:hint="eastAsia" w:ascii="仿宋_GB2312" w:hAnsi="Calibri" w:eastAsia="仿宋_GB2312" w:cs="仿宋_GB2312"/>
          <w:color w:val="000000"/>
          <w:sz w:val="32"/>
          <w:szCs w:val="32"/>
          <w:shd w:val="clear" w:color="auto" w:fill="FFFFFF"/>
        </w:rPr>
        <w:t>我局</w:t>
      </w:r>
      <w:r>
        <w:rPr>
          <w:rFonts w:hint="eastAsia" w:ascii="仿宋_GB2312" w:hAnsi="Ã¥Â¾Â®Ã¨Â½Â¯Ã©â€ºâ€¦Ã©Â»â€˜" w:eastAsia="仿宋_GB2312" w:cs="仿宋_GB2312"/>
          <w:color w:val="000000"/>
          <w:sz w:val="32"/>
          <w:szCs w:val="32"/>
          <w:shd w:val="clear" w:color="auto" w:fill="FFFFFF"/>
        </w:rPr>
        <w:t>无其他需要报告事项。</w:t>
      </w:r>
    </w:p>
    <w:p>
      <w:pPr>
        <w:pStyle w:val="5"/>
        <w:shd w:val="clear" w:color="auto" w:fill="FFFFFF"/>
        <w:spacing w:before="0" w:beforeAutospacing="0" w:after="0" w:afterAutospacing="0" w:line="560" w:lineRule="exact"/>
        <w:ind w:firstLine="617"/>
        <w:rPr>
          <w:rFonts w:ascii="Ã¥Â¾Â®Ã¨Â½Â¯Ã©â€ºâ€¦Ã©Â»â€˜" w:hAnsi="Ã¥Â¾Â®Ã¨Â½Â¯Ã©â€ºâ€¦Ã©Â»â€˜" w:eastAsia="Ã¥Â¾Â®Ã¨Â½Â¯Ã©â€ºâ€¦Ã©Â»â€˜" w:cs="Ã¥Â¾Â®Ã¨Â½Â¯Ã©â€ºâ€¦Ã©Â»â€˜"/>
          <w:color w:val="000000"/>
          <w:sz w:val="19"/>
          <w:szCs w:val="19"/>
        </w:rPr>
      </w:pPr>
      <w:r>
        <w:rPr>
          <w:rFonts w:hint="eastAsia" w:ascii="楷体_GB2312" w:hAnsi="Ã¥Â¾Â®Ã¨Â½Â¯Ã©â€ºâ€¦Ã©Â»â€˜" w:eastAsia="楷体_GB2312" w:cs="楷体_GB2312"/>
          <w:color w:val="000000"/>
          <w:sz w:val="32"/>
          <w:szCs w:val="32"/>
          <w:shd w:val="clear" w:color="auto" w:fill="FFFFFF"/>
        </w:rPr>
        <w:t>（七）其他有关文件专门要求通过政府信息公开工作年度报告予以报告的事项</w:t>
      </w:r>
    </w:p>
    <w:p>
      <w:pPr>
        <w:pStyle w:val="5"/>
        <w:shd w:val="clear" w:color="auto" w:fill="FFFFFF"/>
        <w:spacing w:before="0" w:beforeAutospacing="0" w:after="0" w:afterAutospacing="0" w:line="560" w:lineRule="exact"/>
        <w:ind w:firstLine="617"/>
        <w:rPr>
          <w:rFonts w:hint="eastAsia" w:ascii="仿宋_GB2312" w:hAnsi="Ã¥Â¾Â®Ã¨Â½Â¯Ã©â€ºâ€¦Ã©Â»â€˜" w:eastAsia="仿宋_GB2312" w:cs="仿宋_GB2312"/>
          <w:color w:val="000000"/>
          <w:sz w:val="32"/>
          <w:szCs w:val="32"/>
          <w:shd w:val="clear" w:color="auto" w:fill="FFFFFF"/>
        </w:rPr>
      </w:pPr>
      <w:r>
        <w:rPr>
          <w:rFonts w:hint="eastAsia" w:ascii="仿宋_GB2312" w:hAnsi="Calibri" w:eastAsia="仿宋_GB2312" w:cs="仿宋_GB2312"/>
          <w:color w:val="000000"/>
          <w:sz w:val="32"/>
          <w:szCs w:val="32"/>
          <w:shd w:val="clear" w:color="auto" w:fill="FFFFFF"/>
        </w:rPr>
        <w:t>本年度我局</w:t>
      </w:r>
      <w:r>
        <w:rPr>
          <w:rFonts w:hint="eastAsia" w:ascii="仿宋_GB2312" w:hAnsi="Ã¥Â¾Â®Ã¨Â½Â¯Ã©â€ºâ€¦Ã©Â»â€˜" w:eastAsia="仿宋_GB2312" w:cs="仿宋_GB2312"/>
          <w:color w:val="000000"/>
          <w:sz w:val="32"/>
          <w:szCs w:val="32"/>
          <w:shd w:val="clear" w:color="auto" w:fill="FFFFFF"/>
        </w:rPr>
        <w:t>无其他有关文件专门要求通过政府信息公开工作年度报告予以报告的事项。</w:t>
      </w:r>
    </w:p>
    <w:p>
      <w:pPr>
        <w:pStyle w:val="5"/>
        <w:shd w:val="clear" w:color="auto" w:fill="FFFFFF"/>
        <w:spacing w:before="0" w:beforeAutospacing="0" w:after="0" w:afterAutospacing="0" w:line="560" w:lineRule="exact"/>
        <w:rPr>
          <w:rFonts w:hint="eastAsia" w:ascii="仿宋_GB2312" w:hAnsi="Ã¥Â¾Â®Ã¨Â½Â¯Ã©â€ºâ€¦Ã©Â»â€˜" w:eastAsia="仿宋_GB2312" w:cs="仿宋_GB2312"/>
          <w:color w:val="000000"/>
          <w:sz w:val="32"/>
          <w:szCs w:val="32"/>
          <w:shd w:val="clear" w:color="auto" w:fill="FFFFFF"/>
        </w:rPr>
      </w:pPr>
    </w:p>
    <w:p>
      <w:pPr>
        <w:spacing w:line="560" w:lineRule="exact"/>
        <w:jc w:val="righ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台儿庄区农业农村局</w:t>
      </w:r>
    </w:p>
    <w:p>
      <w:pPr>
        <w:spacing w:line="560" w:lineRule="exact"/>
        <w:jc w:val="right"/>
        <w:rPr>
          <w:sz w:val="32"/>
          <w:szCs w:val="32"/>
        </w:rPr>
      </w:pPr>
      <w:r>
        <w:rPr>
          <w:rFonts w:hint="eastAsia" w:ascii="仿宋_GB2312" w:hAnsi="仿宋_GB2312" w:eastAsia="仿宋_GB2312" w:cs="仿宋_GB2312"/>
          <w:color w:val="000000"/>
          <w:sz w:val="32"/>
          <w:szCs w:val="32"/>
          <w:shd w:val="clear" w:color="auto" w:fill="FFFFFF"/>
        </w:rPr>
        <w:t>2024年1月25日</w:t>
      </w:r>
    </w:p>
    <w:sectPr>
      <w:footerReference r:id="rId3" w:type="default"/>
      <w:footerReference r:id="rId4" w:type="even"/>
      <w:pgSz w:w="11906" w:h="16838"/>
      <w:pgMar w:top="1985" w:right="1588" w:bottom="1701"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56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６</w:t>
    </w:r>
    <w:r>
      <w:rPr>
        <w:rStyle w:val="8"/>
        <w:rFonts w:ascii="宋体" w:hAnsi="宋体"/>
        <w:sz w:val="28"/>
        <w:szCs w:val="28"/>
      </w:rPr>
      <w:fldChar w:fldCharType="end"/>
    </w:r>
    <w:r>
      <w:rPr>
        <w:rStyle w:val="8"/>
        <w:rFonts w:hint="eastAsia" w:ascii="宋体" w:hAnsi="宋体"/>
        <w:sz w:val="28"/>
        <w:szCs w:val="28"/>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56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２０</w:t>
    </w:r>
    <w:r>
      <w:rPr>
        <w:rStyle w:val="8"/>
        <w:rFonts w:ascii="宋体" w:hAnsi="宋体"/>
        <w:sz w:val="28"/>
        <w:szCs w:val="28"/>
      </w:rPr>
      <w:fldChar w:fldCharType="end"/>
    </w:r>
    <w:r>
      <w:rPr>
        <w:rStyle w:val="8"/>
        <w:rFonts w:hint="eastAsia" w:ascii="宋体" w:hAnsi="宋体"/>
        <w:sz w:val="28"/>
        <w:szCs w:val="28"/>
      </w:rPr>
      <w:t>—</w:t>
    </w:r>
  </w:p>
  <w:p>
    <w:pPr>
      <w:pStyle w:val="3"/>
      <w:ind w:right="360" w:firstLine="360"/>
      <w:jc w:val="center"/>
    </w:pPr>
  </w:p>
  <w:p>
    <w:pPr>
      <w:ind w:firstLine="420"/>
    </w:pPr>
  </w:p>
  <w:p>
    <w:pPr>
      <w:ind w:firstLine="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OGQ2ZDQwZGM3NGRjZjFkYWRlYzQzN2E4YzgwNjcifQ=="/>
  </w:docVars>
  <w:rsids>
    <w:rsidRoot w:val="00D30D6A"/>
    <w:rsid w:val="00116D35"/>
    <w:rsid w:val="004D5DA8"/>
    <w:rsid w:val="00686BEB"/>
    <w:rsid w:val="008A3B6B"/>
    <w:rsid w:val="00A22DD5"/>
    <w:rsid w:val="00BE262A"/>
    <w:rsid w:val="00D30D6A"/>
    <w:rsid w:val="00DE5743"/>
    <w:rsid w:val="00E46EA8"/>
    <w:rsid w:val="00ED7242"/>
    <w:rsid w:val="00F424C7"/>
    <w:rsid w:val="04E92909"/>
    <w:rsid w:val="08601134"/>
    <w:rsid w:val="0B7A52A2"/>
    <w:rsid w:val="12E56E05"/>
    <w:rsid w:val="13C44C6D"/>
    <w:rsid w:val="14027543"/>
    <w:rsid w:val="140D0F60"/>
    <w:rsid w:val="14A51039"/>
    <w:rsid w:val="1A5206A4"/>
    <w:rsid w:val="221D3D39"/>
    <w:rsid w:val="28C100B3"/>
    <w:rsid w:val="29A46C7B"/>
    <w:rsid w:val="2F8C268B"/>
    <w:rsid w:val="33443479"/>
    <w:rsid w:val="35B41300"/>
    <w:rsid w:val="36B97ADD"/>
    <w:rsid w:val="3BDC4A2D"/>
    <w:rsid w:val="433A31EB"/>
    <w:rsid w:val="4E854A1D"/>
    <w:rsid w:val="520B071F"/>
    <w:rsid w:val="529C0587"/>
    <w:rsid w:val="535E75EB"/>
    <w:rsid w:val="562B7C58"/>
    <w:rsid w:val="5A8E6A07"/>
    <w:rsid w:val="61F47A98"/>
    <w:rsid w:val="64925346"/>
    <w:rsid w:val="64E47FF2"/>
    <w:rsid w:val="6AC44A5D"/>
    <w:rsid w:val="6ACA155E"/>
    <w:rsid w:val="6F4D6A39"/>
    <w:rsid w:val="73BC5F3C"/>
    <w:rsid w:val="752E2E69"/>
    <w:rsid w:val="769A6A08"/>
    <w:rsid w:val="7C0A5A1F"/>
    <w:rsid w:val="7F8F2756"/>
    <w:rsid w:val="7FC9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7">
    <w:name w:val="Default Paragraph Font"/>
    <w:autoRedefine/>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 w:type="character" w:customStyle="1" w:styleId="9">
    <w:name w:val="页眉 字符"/>
    <w:basedOn w:val="7"/>
    <w:link w:val="4"/>
    <w:autoRedefine/>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2712</Words>
  <Characters>2832</Characters>
  <Lines>22</Lines>
  <Paragraphs>6</Paragraphs>
  <TotalTime>57</TotalTime>
  <ScaleCrop>false</ScaleCrop>
  <LinksUpToDate>false</LinksUpToDate>
  <CharactersWithSpaces>2832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2024-01-25T07:51:00Z</dcterms:created>
  <dc:creator>mingzhe xu</dc:creator>
  <cp:lastModifiedBy>DELL</cp:lastModifiedBy>
  <cp:lastPrinted>2024-01-25T06:34:00Z</cp:lastPrinted>
  <dcterms:modified xsi:type="dcterms:W3CDTF">2024-02-20T06:47:48Z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BD915D295CBD4BDFB301162FD3B3FB06_12</vt:lpwstr>
  </property>
</Properties>
</file>