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枣庄</w:t>
      </w:r>
      <w:r>
        <w:rPr>
          <w:rFonts w:hint="eastAsia" w:ascii="方正小标宋简体" w:eastAsia="方正小标宋简体"/>
          <w:sz w:val="44"/>
          <w:szCs w:val="44"/>
        </w:rPr>
        <w:t>市生态环境局</w:t>
      </w:r>
      <w:r>
        <w:rPr>
          <w:rFonts w:hint="eastAsia" w:ascii="方正小标宋简体" w:eastAsia="方正小标宋简体"/>
          <w:sz w:val="44"/>
          <w:szCs w:val="44"/>
          <w:lang w:eastAsia="zh-CN"/>
        </w:rPr>
        <w:t>台儿庄</w:t>
      </w:r>
      <w:r>
        <w:rPr>
          <w:rFonts w:hint="eastAsia" w:ascii="方正小标宋简体" w:eastAsia="方正小标宋简体"/>
          <w:sz w:val="44"/>
          <w:szCs w:val="44"/>
        </w:rPr>
        <w:t>分局</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default" w:ascii="方正小标宋简体" w:eastAsia="方正小标宋简体"/>
          <w:sz w:val="44"/>
          <w:szCs w:val="44"/>
          <w:lang w:val="en"/>
        </w:rPr>
        <w:t>3</w:t>
      </w:r>
      <w:r>
        <w:rPr>
          <w:rFonts w:hint="eastAsia" w:ascii="方正小标宋简体" w:eastAsia="方正小标宋简体"/>
          <w:sz w:val="44"/>
          <w:szCs w:val="44"/>
        </w:rPr>
        <w:t>年政府信息公开工作年度报告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及规范文件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spacing w:line="560" w:lineRule="exact"/>
        <w:ind w:firstLine="600" w:firstLineChars="200"/>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一、总体情况</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w:t>
      </w:r>
      <w:r>
        <w:rPr>
          <w:rFonts w:hint="eastAsia" w:ascii="仿宋" w:hAnsi="仿宋" w:eastAsia="仿宋" w:cs="仿宋"/>
          <w:sz w:val="30"/>
          <w:szCs w:val="30"/>
          <w:lang w:val="en" w:eastAsia="zh-CN"/>
        </w:rPr>
        <w:t>3</w:t>
      </w:r>
      <w:r>
        <w:rPr>
          <w:rFonts w:hint="eastAsia" w:ascii="仿宋" w:hAnsi="仿宋" w:eastAsia="仿宋" w:cs="仿宋"/>
          <w:sz w:val="30"/>
          <w:szCs w:val="30"/>
          <w:lang w:val="en-US" w:eastAsia="zh-CN"/>
        </w:rPr>
        <w:t>年，我局健全领导体制，完善工作机制，认真做好政府信息公开工作，把政府信息公开工作作为推进依法行政的重要内容。</w:t>
      </w:r>
    </w:p>
    <w:p>
      <w:pPr>
        <w:spacing w:line="560" w:lineRule="exact"/>
        <w:ind w:firstLine="600" w:firstLineChars="200"/>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（一）主动公开</w:t>
      </w:r>
    </w:p>
    <w:p>
      <w:pPr>
        <w:keepNext w:val="0"/>
        <w:keepLines w:val="0"/>
        <w:widowControl/>
        <w:suppressLineNumbers w:val="0"/>
        <w:wordWrap w:val="0"/>
        <w:spacing w:before="0" w:beforeAutospacing="0" w:after="0" w:afterAutospacing="0" w:line="560" w:lineRule="atLeast"/>
        <w:ind w:left="0" w:right="0" w:firstLine="640"/>
        <w:jc w:val="left"/>
        <w:rPr>
          <w:rFonts w:hint="eastAsia" w:ascii="仿宋" w:hAnsi="仿宋" w:eastAsia="仿宋" w:cs="仿宋"/>
          <w:b w:val="0"/>
          <w:bCs w:val="0"/>
          <w:color w:val="333333"/>
          <w:sz w:val="30"/>
          <w:szCs w:val="30"/>
          <w:shd w:val="clear" w:color="auto" w:fill="FFFFFF"/>
          <w:lang w:val="en-US" w:eastAsia="zh-CN"/>
        </w:rPr>
      </w:pPr>
      <w:r>
        <w:rPr>
          <w:rFonts w:hint="eastAsia" w:ascii="仿宋" w:hAnsi="仿宋" w:eastAsia="仿宋" w:cs="仿宋"/>
          <w:b w:val="0"/>
          <w:bCs w:val="0"/>
          <w:color w:val="333333"/>
          <w:sz w:val="30"/>
          <w:szCs w:val="30"/>
          <w:shd w:val="clear" w:color="auto" w:fill="FFFFFF"/>
          <w:lang w:val="en-US" w:eastAsia="zh-CN"/>
        </w:rPr>
        <w:t>1.体制机制建设情况</w:t>
      </w:r>
    </w:p>
    <w:p>
      <w:pPr>
        <w:spacing w:line="560" w:lineRule="exac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我局领导高度重视政府信息公开工作，成立了由局长任组长，其他党组成员为副组长，机关各科室负责人为成员的政务公开工作领导小组。领导小组下设办公室，指定专人负责有关信息的梳理和日常工作的处理。</w:t>
      </w:r>
    </w:p>
    <w:p>
      <w:pPr>
        <w:keepNext w:val="0"/>
        <w:keepLines w:val="0"/>
        <w:widowControl/>
        <w:suppressLineNumbers w:val="0"/>
        <w:wordWrap w:val="0"/>
        <w:spacing w:before="0" w:beforeAutospacing="0" w:after="0" w:afterAutospacing="0" w:line="560" w:lineRule="atLeast"/>
        <w:ind w:left="0" w:right="0" w:firstLine="640"/>
        <w:jc w:val="left"/>
        <w:rPr>
          <w:rFonts w:hint="eastAsia" w:ascii="仿宋" w:hAnsi="仿宋" w:eastAsia="仿宋" w:cs="仿宋"/>
          <w:b w:val="0"/>
          <w:bCs w:val="0"/>
          <w:color w:val="333333"/>
          <w:sz w:val="30"/>
          <w:szCs w:val="30"/>
          <w:shd w:val="clear" w:color="auto" w:fill="FFFFFF"/>
          <w:lang w:val="en-US" w:eastAsia="zh-CN"/>
        </w:rPr>
      </w:pPr>
      <w:r>
        <w:rPr>
          <w:rFonts w:hint="eastAsia" w:ascii="仿宋" w:hAnsi="仿宋" w:eastAsia="仿宋" w:cs="仿宋"/>
          <w:b w:val="0"/>
          <w:bCs w:val="0"/>
          <w:color w:val="333333"/>
          <w:sz w:val="30"/>
          <w:szCs w:val="30"/>
          <w:shd w:val="clear" w:color="auto" w:fill="FFFFFF"/>
          <w:lang w:val="en-US" w:eastAsia="zh-CN"/>
        </w:rPr>
        <w:t>2.主动公开信息情况</w:t>
      </w:r>
    </w:p>
    <w:p>
      <w:pPr>
        <w:keepNext w:val="0"/>
        <w:keepLines w:val="0"/>
        <w:pageBreakBefore w:val="0"/>
        <w:kinsoku/>
        <w:wordWrap/>
        <w:overflowPunct/>
        <w:topLinePunct w:val="0"/>
        <w:autoSpaceDN/>
        <w:bidi w:val="0"/>
        <w:adjustRightInd/>
        <w:snapToGrid/>
        <w:spacing w:line="560" w:lineRule="exact"/>
        <w:ind w:firstLine="600" w:firstLineChars="200"/>
        <w:textAlignment w:val="auto"/>
        <w:rPr>
          <w:rFonts w:hint="eastAsia" w:ascii="仿宋" w:hAnsi="仿宋" w:eastAsia="仿宋" w:cs="仿宋"/>
          <w:i w:val="0"/>
          <w:iCs w:val="0"/>
          <w:caps w:val="0"/>
          <w:color w:val="000000"/>
          <w:spacing w:val="0"/>
          <w:sz w:val="30"/>
          <w:szCs w:val="30"/>
          <w:u w:val="none"/>
        </w:rPr>
      </w:pPr>
      <w:r>
        <w:rPr>
          <w:rFonts w:hint="eastAsia" w:ascii="仿宋" w:hAnsi="仿宋" w:eastAsia="仿宋" w:cs="仿宋"/>
          <w:b w:val="0"/>
          <w:bCs w:val="0"/>
          <w:sz w:val="30"/>
          <w:szCs w:val="30"/>
          <w:lang w:val="en-US" w:eastAsia="zh-CN"/>
        </w:rPr>
        <w:t>202</w:t>
      </w:r>
      <w:r>
        <w:rPr>
          <w:rFonts w:hint="eastAsia" w:ascii="仿宋" w:hAnsi="仿宋" w:eastAsia="仿宋" w:cs="仿宋"/>
          <w:b w:val="0"/>
          <w:bCs w:val="0"/>
          <w:sz w:val="30"/>
          <w:szCs w:val="30"/>
          <w:lang w:val="en" w:eastAsia="zh-CN"/>
        </w:rPr>
        <w:t>3</w:t>
      </w:r>
      <w:r>
        <w:rPr>
          <w:rFonts w:hint="eastAsia" w:ascii="仿宋" w:hAnsi="仿宋" w:eastAsia="仿宋" w:cs="仿宋"/>
          <w:b w:val="0"/>
          <w:bCs w:val="0"/>
          <w:sz w:val="30"/>
          <w:szCs w:val="30"/>
          <w:lang w:val="en-US" w:eastAsia="zh-CN"/>
        </w:rPr>
        <w:t>年，</w:t>
      </w:r>
      <w:r>
        <w:rPr>
          <w:rFonts w:hint="eastAsia" w:ascii="仿宋" w:hAnsi="仿宋" w:eastAsia="仿宋" w:cs="仿宋"/>
          <w:b w:val="0"/>
          <w:bCs w:val="0"/>
          <w:i w:val="0"/>
          <w:iCs w:val="0"/>
          <w:caps w:val="0"/>
          <w:color w:val="000000"/>
          <w:spacing w:val="0"/>
          <w:sz w:val="30"/>
          <w:szCs w:val="30"/>
          <w:u w:val="none"/>
        </w:rPr>
        <w:t>我</w:t>
      </w:r>
      <w:r>
        <w:rPr>
          <w:rFonts w:hint="eastAsia" w:ascii="仿宋" w:hAnsi="仿宋" w:eastAsia="仿宋" w:cs="仿宋"/>
          <w:b w:val="0"/>
          <w:bCs w:val="0"/>
          <w:i w:val="0"/>
          <w:iCs w:val="0"/>
          <w:caps w:val="0"/>
          <w:color w:val="000000"/>
          <w:spacing w:val="0"/>
          <w:sz w:val="30"/>
          <w:szCs w:val="30"/>
          <w:u w:val="none"/>
          <w:lang w:val="en-US" w:eastAsia="zh-CN"/>
        </w:rPr>
        <w:t>局</w:t>
      </w:r>
      <w:r>
        <w:rPr>
          <w:rFonts w:hint="eastAsia" w:ascii="仿宋" w:hAnsi="仿宋" w:eastAsia="仿宋" w:cs="仿宋"/>
          <w:b w:val="0"/>
          <w:bCs w:val="0"/>
          <w:i w:val="0"/>
          <w:iCs w:val="0"/>
          <w:caps w:val="0"/>
          <w:color w:val="000000"/>
          <w:spacing w:val="0"/>
          <w:sz w:val="30"/>
          <w:szCs w:val="30"/>
          <w:u w:val="none"/>
        </w:rPr>
        <w:t>依法、全面、</w:t>
      </w:r>
      <w:r>
        <w:rPr>
          <w:rFonts w:hint="eastAsia" w:ascii="仿宋" w:hAnsi="仿宋" w:eastAsia="仿宋" w:cs="仿宋"/>
          <w:i w:val="0"/>
          <w:iCs w:val="0"/>
          <w:caps w:val="0"/>
          <w:color w:val="000000"/>
          <w:spacing w:val="0"/>
          <w:sz w:val="30"/>
          <w:szCs w:val="30"/>
          <w:u w:val="none"/>
        </w:rPr>
        <w:t>准确、及时地</w:t>
      </w:r>
      <w:r>
        <w:rPr>
          <w:rFonts w:hint="eastAsia" w:ascii="仿宋" w:hAnsi="仿宋" w:eastAsia="仿宋" w:cs="仿宋"/>
          <w:i w:val="0"/>
          <w:iCs w:val="0"/>
          <w:caps w:val="0"/>
          <w:color w:val="000000"/>
          <w:spacing w:val="0"/>
          <w:sz w:val="30"/>
          <w:szCs w:val="30"/>
          <w:u w:val="none"/>
          <w:lang w:eastAsia="zh-CN"/>
        </w:rPr>
        <w:t>主动公开了机关职能、机构设置、办公地址、办公时间、联系方式、负责人姓名；财政预算、决算信息重大建设项目的批准和实施情况；办理行政许可、实施行政处罚、行政强制和其他对外管理服务事项的依据、条件、程序以及办理结果；法律、法规、规章和国家有关规定规定应当主动公开的其他政府信息；</w:t>
      </w:r>
      <w:r>
        <w:rPr>
          <w:rFonts w:hint="eastAsia" w:ascii="仿宋" w:hAnsi="仿宋" w:eastAsia="仿宋" w:cs="仿宋"/>
          <w:i w:val="0"/>
          <w:iCs w:val="0"/>
          <w:caps w:val="0"/>
          <w:color w:val="000000"/>
          <w:spacing w:val="0"/>
          <w:sz w:val="30"/>
          <w:szCs w:val="30"/>
          <w:u w:val="none"/>
        </w:rPr>
        <w:t>自觉接受人大监督、民主监督、司法监督，及时答复公开提案办理情况</w:t>
      </w:r>
      <w:r>
        <w:rPr>
          <w:rFonts w:hint="eastAsia" w:ascii="仿宋" w:hAnsi="仿宋" w:eastAsia="仿宋" w:cs="仿宋"/>
          <w:i w:val="0"/>
          <w:iCs w:val="0"/>
          <w:caps w:val="0"/>
          <w:color w:val="000000"/>
          <w:spacing w:val="0"/>
          <w:sz w:val="30"/>
          <w:szCs w:val="30"/>
          <w:u w:val="none"/>
          <w:lang w:eastAsia="zh-CN"/>
        </w:rPr>
        <w:t>，</w:t>
      </w:r>
      <w:r>
        <w:rPr>
          <w:rFonts w:hint="eastAsia" w:ascii="仿宋" w:hAnsi="仿宋" w:eastAsia="仿宋" w:cs="仿宋"/>
          <w:sz w:val="30"/>
          <w:szCs w:val="30"/>
          <w:lang w:val="en-US" w:eastAsia="zh-CN"/>
        </w:rPr>
        <w:t>共发布各类主动公开信息</w:t>
      </w:r>
      <w:r>
        <w:rPr>
          <w:rFonts w:hint="eastAsia" w:ascii="仿宋" w:hAnsi="仿宋" w:eastAsia="仿宋" w:cs="仿宋"/>
          <w:sz w:val="30"/>
          <w:szCs w:val="30"/>
          <w:lang w:val="en" w:eastAsia="zh-CN"/>
        </w:rPr>
        <w:t>1</w:t>
      </w:r>
      <w:r>
        <w:rPr>
          <w:rFonts w:hint="eastAsia" w:ascii="仿宋" w:hAnsi="仿宋" w:eastAsia="仿宋" w:cs="仿宋"/>
          <w:sz w:val="30"/>
          <w:szCs w:val="30"/>
          <w:lang w:val="en-US" w:eastAsia="zh-CN"/>
        </w:rPr>
        <w:t>0</w:t>
      </w:r>
      <w:r>
        <w:rPr>
          <w:rFonts w:hint="eastAsia" w:ascii="仿宋" w:hAnsi="仿宋" w:eastAsia="仿宋" w:cs="仿宋"/>
          <w:sz w:val="30"/>
          <w:szCs w:val="30"/>
          <w:lang w:val="en" w:eastAsia="zh-CN"/>
        </w:rPr>
        <w:t>7</w:t>
      </w:r>
      <w:r>
        <w:rPr>
          <w:rFonts w:hint="eastAsia" w:ascii="仿宋" w:hAnsi="仿宋" w:eastAsia="仿宋" w:cs="仿宋"/>
          <w:sz w:val="30"/>
          <w:szCs w:val="30"/>
          <w:lang w:val="en-US" w:eastAsia="zh-CN"/>
        </w:rPr>
        <w:t>条。</w:t>
      </w:r>
    </w:p>
    <w:p>
      <w:pPr>
        <w:spacing w:line="560" w:lineRule="exact"/>
        <w:ind w:firstLine="600" w:firstLineChars="200"/>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（二）依申请公开方面</w:t>
      </w:r>
    </w:p>
    <w:p>
      <w:pPr>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202</w:t>
      </w:r>
      <w:r>
        <w:rPr>
          <w:rFonts w:hint="eastAsia" w:ascii="仿宋" w:hAnsi="仿宋" w:eastAsia="仿宋" w:cs="仿宋"/>
          <w:sz w:val="30"/>
          <w:szCs w:val="30"/>
          <w:lang w:val="en"/>
        </w:rPr>
        <w:t>3</w:t>
      </w:r>
      <w:r>
        <w:rPr>
          <w:rFonts w:hint="eastAsia" w:ascii="仿宋" w:hAnsi="仿宋" w:eastAsia="仿宋" w:cs="仿宋"/>
          <w:sz w:val="30"/>
          <w:szCs w:val="30"/>
        </w:rPr>
        <w:t>年，收到政府信息公开申请</w:t>
      </w:r>
      <w:r>
        <w:rPr>
          <w:rFonts w:hint="eastAsia" w:ascii="仿宋" w:hAnsi="仿宋" w:eastAsia="仿宋" w:cs="仿宋"/>
          <w:sz w:val="30"/>
          <w:szCs w:val="30"/>
          <w:highlight w:val="none"/>
          <w:lang w:val="en" w:eastAsia="zh-CN"/>
        </w:rPr>
        <w:t>0</w:t>
      </w:r>
      <w:r>
        <w:rPr>
          <w:rFonts w:hint="eastAsia" w:ascii="仿宋" w:hAnsi="仿宋" w:eastAsia="仿宋" w:cs="仿宋"/>
          <w:sz w:val="30"/>
          <w:szCs w:val="30"/>
          <w:highlight w:val="none"/>
        </w:rPr>
        <w:t>件</w:t>
      </w:r>
      <w:r>
        <w:rPr>
          <w:rFonts w:hint="eastAsia" w:ascii="仿宋" w:hAnsi="仿宋" w:eastAsia="仿宋" w:cs="仿宋"/>
          <w:sz w:val="30"/>
          <w:szCs w:val="30"/>
        </w:rPr>
        <w:t>，因政府信息公开被申</w:t>
      </w:r>
      <w:r>
        <w:rPr>
          <w:rFonts w:hint="eastAsia" w:ascii="仿宋" w:hAnsi="仿宋" w:eastAsia="仿宋" w:cs="仿宋"/>
          <w:sz w:val="30"/>
          <w:szCs w:val="30"/>
          <w:highlight w:val="none"/>
        </w:rPr>
        <w:t>请行政复议0件</w:t>
      </w:r>
      <w:r>
        <w:rPr>
          <w:rFonts w:hint="eastAsia" w:ascii="仿宋" w:hAnsi="仿宋" w:eastAsia="仿宋" w:cs="仿宋"/>
          <w:sz w:val="30"/>
          <w:szCs w:val="30"/>
        </w:rPr>
        <w:t>，提起行政诉讼0件</w:t>
      </w:r>
      <w:r>
        <w:rPr>
          <w:rFonts w:hint="eastAsia" w:ascii="仿宋" w:hAnsi="仿宋" w:eastAsia="仿宋" w:cs="仿宋"/>
          <w:sz w:val="30"/>
          <w:szCs w:val="30"/>
          <w:lang w:eastAsia="zh-CN"/>
        </w:rPr>
        <w:t>，与去年相比无变化，无收费情况。</w:t>
      </w:r>
      <w:r>
        <w:rPr>
          <w:rFonts w:hint="eastAsia" w:ascii="仿宋" w:hAnsi="仿宋" w:eastAsia="仿宋" w:cs="仿宋"/>
          <w:sz w:val="30"/>
          <w:szCs w:val="30"/>
        </w:rPr>
        <w:t>创新工作方式，对已办结的政府信息公开申请件进行归档整理。</w:t>
      </w:r>
    </w:p>
    <w:p>
      <w:pPr>
        <w:spacing w:line="560" w:lineRule="exact"/>
        <w:ind w:firstLine="600" w:firstLineChars="200"/>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（三）政府信息管理方面</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建立政务公开工作责任制，制定政务公开操作规程，做好政府信息管理动态调整，按照上级要求及时对网站信息进行动态调整，做好政府信息公开工作全流程管理</w:t>
      </w:r>
      <w:r>
        <w:rPr>
          <w:rFonts w:hint="eastAsia" w:ascii="仿宋" w:hAnsi="仿宋" w:eastAsia="仿宋" w:cs="仿宋"/>
          <w:sz w:val="30"/>
          <w:szCs w:val="30"/>
          <w:lang w:eastAsia="zh-CN"/>
        </w:rPr>
        <w:t>；</w:t>
      </w:r>
      <w:r>
        <w:rPr>
          <w:rFonts w:hint="eastAsia" w:ascii="仿宋" w:hAnsi="仿宋" w:eastAsia="仿宋" w:cs="仿宋"/>
          <w:sz w:val="30"/>
          <w:szCs w:val="30"/>
        </w:rPr>
        <w:t>结合单位实际，制定</w:t>
      </w:r>
      <w:r>
        <w:rPr>
          <w:rFonts w:hint="eastAsia" w:ascii="仿宋" w:hAnsi="仿宋" w:eastAsia="仿宋" w:cs="仿宋"/>
          <w:sz w:val="30"/>
          <w:szCs w:val="30"/>
          <w:lang w:val="en-US" w:eastAsia="zh-CN"/>
        </w:rPr>
        <w:t>我</w:t>
      </w:r>
      <w:r>
        <w:rPr>
          <w:rFonts w:hint="eastAsia" w:ascii="仿宋" w:hAnsi="仿宋" w:eastAsia="仿宋" w:cs="仿宋"/>
          <w:sz w:val="30"/>
          <w:szCs w:val="30"/>
        </w:rPr>
        <w:t>局政府信息主动公开目录建设、政府信息全生命周期管理相关制度、政府信息公开保密审查制度等。</w:t>
      </w:r>
    </w:p>
    <w:p>
      <w:pPr>
        <w:spacing w:line="560" w:lineRule="exact"/>
        <w:ind w:firstLine="600" w:firstLineChars="200"/>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（四）政府信息公开平台建设方面</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安排专人对政府网站平台管理，做好信息权威发布、政策解读和办事服务工作，进一步便捷服务渠道，提升服务水平。</w:t>
      </w:r>
    </w:p>
    <w:p>
      <w:pPr>
        <w:spacing w:line="560" w:lineRule="exact"/>
        <w:ind w:firstLine="600" w:firstLineChars="200"/>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（五）监督保障方面</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一是建立了主要领导亲自抓，分管领导具体抓、业务科室抓落实的工作机制；二</w:t>
      </w:r>
      <w:r>
        <w:rPr>
          <w:rFonts w:hint="eastAsia" w:ascii="仿宋" w:hAnsi="仿宋" w:eastAsia="仿宋" w:cs="仿宋"/>
          <w:sz w:val="30"/>
          <w:szCs w:val="30"/>
        </w:rPr>
        <w:t>是定期对各科室单位信息公开工作人员进行业务培训，切实提高认识水平和工作能力。</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是配备专职信息公开工作人员</w:t>
      </w:r>
      <w:r>
        <w:rPr>
          <w:rFonts w:hint="eastAsia" w:ascii="仿宋" w:hAnsi="仿宋" w:eastAsia="仿宋" w:cs="仿宋"/>
          <w:sz w:val="30"/>
          <w:szCs w:val="30"/>
          <w:lang w:val="en-US" w:eastAsia="zh-CN"/>
        </w:rPr>
        <w:t>1名，兼职工作人员</w:t>
      </w:r>
      <w:r>
        <w:rPr>
          <w:rFonts w:hint="eastAsia" w:ascii="仿宋" w:hAnsi="仿宋" w:eastAsia="仿宋" w:cs="仿宋"/>
          <w:sz w:val="30"/>
          <w:szCs w:val="30"/>
          <w:lang w:val="en" w:eastAsia="zh-CN"/>
        </w:rPr>
        <w:t>3</w:t>
      </w:r>
      <w:r>
        <w:rPr>
          <w:rFonts w:hint="eastAsia" w:ascii="仿宋" w:hAnsi="仿宋" w:eastAsia="仿宋" w:cs="仿宋"/>
          <w:sz w:val="30"/>
          <w:szCs w:val="30"/>
          <w:lang w:val="en-US" w:eastAsia="zh-CN"/>
        </w:rPr>
        <w:t>名</w:t>
      </w:r>
      <w:r>
        <w:rPr>
          <w:rFonts w:hint="eastAsia" w:ascii="仿宋" w:hAnsi="仿宋" w:eastAsia="仿宋" w:cs="仿宋"/>
          <w:sz w:val="30"/>
          <w:szCs w:val="30"/>
        </w:rPr>
        <w:t>。</w:t>
      </w:r>
    </w:p>
    <w:p>
      <w:pPr>
        <w:spacing w:line="560" w:lineRule="exact"/>
        <w:ind w:firstLine="600" w:firstLineChars="200"/>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二、主动公开政府信息情况</w:t>
      </w:r>
    </w:p>
    <w:tbl>
      <w:tblPr>
        <w:tblStyle w:val="5"/>
        <w:tblW w:w="9040" w:type="dxa"/>
        <w:jc w:val="center"/>
        <w:tblLayout w:type="autofit"/>
        <w:tblCellMar>
          <w:top w:w="0" w:type="dxa"/>
          <w:left w:w="0" w:type="dxa"/>
          <w:bottom w:w="0" w:type="dxa"/>
          <w:right w:w="0" w:type="dxa"/>
        </w:tblCellMar>
      </w:tblPr>
      <w:tblGrid>
        <w:gridCol w:w="2260"/>
        <w:gridCol w:w="2260"/>
        <w:gridCol w:w="2260"/>
        <w:gridCol w:w="2260"/>
      </w:tblGrid>
      <w:tr>
        <w:tblPrEx>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第二十条第（一）项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信息内容</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本年</w:t>
            </w:r>
            <w:r>
              <w:rPr>
                <w:rFonts w:hint="eastAsia" w:ascii="仿宋" w:hAnsi="仿宋" w:eastAsia="仿宋" w:cs="仿宋"/>
                <w:kern w:val="0"/>
                <w:sz w:val="30"/>
                <w:szCs w:val="30"/>
                <w:lang w:bidi="ar"/>
              </w:rPr>
              <w:t>制发件数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本年废止件数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现行有效件</w:t>
            </w:r>
            <w:r>
              <w:rPr>
                <w:rFonts w:hint="eastAsia" w:ascii="仿宋" w:hAnsi="仿宋" w:eastAsia="仿宋" w:cs="仿宋"/>
                <w:kern w:val="0"/>
                <w:sz w:val="30"/>
                <w:szCs w:val="30"/>
                <w:lang w:bidi="ar"/>
              </w:rPr>
              <w:t>数</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hint="eastAsia" w:ascii="仿宋" w:hAnsi="仿宋" w:eastAsia="仿宋" w:cs="仿宋"/>
                <w:sz w:val="30"/>
                <w:szCs w:val="30"/>
              </w:rPr>
            </w:pPr>
            <w:r>
              <w:rPr>
                <w:rFonts w:hint="eastAsia" w:ascii="仿宋" w:hAnsi="仿宋" w:eastAsia="仿宋" w:cs="仿宋"/>
                <w:color w:val="000000"/>
                <w:kern w:val="0"/>
                <w:sz w:val="30"/>
                <w:szCs w:val="30"/>
                <w:lang w:bidi="ar"/>
              </w:rPr>
              <w:t>规章</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hint="eastAsia" w:ascii="仿宋" w:hAnsi="仿宋" w:eastAsia="仿宋" w:cs="仿宋"/>
                <w:sz w:val="30"/>
                <w:szCs w:val="30"/>
              </w:rPr>
            </w:pPr>
            <w:r>
              <w:rPr>
                <w:rFonts w:hint="eastAsia" w:ascii="仿宋" w:hAnsi="仿宋" w:eastAsia="仿宋" w:cs="仿宋"/>
                <w:color w:val="000000"/>
                <w:kern w:val="0"/>
                <w:sz w:val="30"/>
                <w:szCs w:val="30"/>
                <w:lang w:bidi="ar"/>
              </w:rPr>
              <w:t>行政规范性文件</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第二十条第（五）项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信息内容</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行政许可</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lang w:val="en" w:eastAsia="zh-CN"/>
              </w:rPr>
            </w:pPr>
            <w:r>
              <w:rPr>
                <w:rFonts w:hint="eastAsia" w:ascii="仿宋" w:hAnsi="仿宋" w:eastAsia="仿宋" w:cs="仿宋"/>
                <w:sz w:val="30"/>
                <w:szCs w:val="30"/>
                <w:lang w:val="en" w:eastAsia="zh-CN"/>
              </w:rPr>
              <w:t>20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第二十条第（六）项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信息内容</w:t>
            </w:r>
          </w:p>
        </w:tc>
        <w:tc>
          <w:tcPr>
            <w:tcW w:w="6780"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行政处罚</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lang w:val="en" w:eastAsia="zh-CN"/>
              </w:rPr>
            </w:pPr>
            <w:r>
              <w:rPr>
                <w:rFonts w:hint="eastAsia" w:ascii="仿宋" w:hAnsi="仿宋" w:eastAsia="仿宋" w:cs="仿宋"/>
                <w:color w:val="000000"/>
                <w:kern w:val="0"/>
                <w:sz w:val="30"/>
                <w:szCs w:val="30"/>
                <w:highlight w:val="none"/>
                <w:lang w:val="en" w:eastAsia="zh-CN" w:bidi="ar"/>
              </w:rPr>
              <w:t>3</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行政强制</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lang w:val="en" w:eastAsia="zh-CN"/>
              </w:rPr>
            </w:pPr>
            <w:r>
              <w:rPr>
                <w:rFonts w:hint="eastAsia" w:ascii="仿宋" w:hAnsi="仿宋" w:eastAsia="仿宋" w:cs="仿宋"/>
                <w:color w:val="000000"/>
                <w:kern w:val="0"/>
                <w:sz w:val="30"/>
                <w:szCs w:val="30"/>
                <w:lang w:val="en"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第二十条第（八）项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信息内容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本年收费金额（单位：万元）</w:t>
            </w:r>
          </w:p>
        </w:tc>
      </w:tr>
      <w:tr>
        <w:tblPrEx>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行政事业性收费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pPr>
              <w:spacing w:line="560" w:lineRule="exact"/>
              <w:jc w:val="center"/>
              <w:rPr>
                <w:rFonts w:hint="eastAsia" w:ascii="仿宋" w:hAnsi="仿宋" w:eastAsia="仿宋" w:cs="仿宋"/>
                <w:sz w:val="30"/>
                <w:szCs w:val="30"/>
                <w:lang w:eastAsia="zh-CN"/>
              </w:rPr>
            </w:pPr>
            <w:r>
              <w:rPr>
                <w:rFonts w:hint="eastAsia" w:ascii="仿宋" w:hAnsi="仿宋" w:eastAsia="仿宋" w:cs="仿宋"/>
                <w:sz w:val="30"/>
                <w:szCs w:val="30"/>
                <w:highlight w:val="none"/>
                <w:lang w:eastAsia="zh-CN"/>
              </w:rPr>
              <w:t>０</w:t>
            </w:r>
          </w:p>
        </w:tc>
      </w:tr>
    </w:tbl>
    <w:p>
      <w:pPr>
        <w:spacing w:line="560" w:lineRule="exact"/>
        <w:ind w:firstLine="600" w:firstLineChars="200"/>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7"/>
        <w:gridCol w:w="1014"/>
        <w:gridCol w:w="3173"/>
        <w:gridCol w:w="682"/>
        <w:gridCol w:w="684"/>
        <w:gridCol w:w="682"/>
        <w:gridCol w:w="682"/>
        <w:gridCol w:w="682"/>
        <w:gridCol w:w="683"/>
        <w:gridCol w:w="69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（本列数据的勾稽关系为：第一项加第二项之和，等于第三项加第四项之和）</w:t>
            </w:r>
          </w:p>
        </w:tc>
        <w:tc>
          <w:tcPr>
            <w:tcW w:w="4821"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spacing w:line="560" w:lineRule="exact"/>
              <w:rPr>
                <w:rFonts w:hint="eastAsia" w:ascii="仿宋" w:hAnsi="仿宋" w:eastAsia="仿宋" w:cs="仿宋"/>
                <w:sz w:val="30"/>
                <w:szCs w:val="30"/>
              </w:rPr>
            </w:pPr>
          </w:p>
        </w:tc>
        <w:tc>
          <w:tcPr>
            <w:tcW w:w="687" w:type="dxa"/>
            <w:vMerge w:val="restart"/>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自然人</w:t>
            </w:r>
          </w:p>
        </w:tc>
        <w:tc>
          <w:tcPr>
            <w:tcW w:w="3435" w:type="dxa"/>
            <w:gridSpan w:val="5"/>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法人或其他组织</w:t>
            </w:r>
          </w:p>
        </w:tc>
        <w:tc>
          <w:tcPr>
            <w:tcW w:w="699"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spacing w:line="560" w:lineRule="exact"/>
              <w:rPr>
                <w:rFonts w:hint="eastAsia" w:ascii="仿宋" w:hAnsi="仿宋" w:eastAsia="仿宋" w:cs="仿宋"/>
                <w:sz w:val="30"/>
                <w:szCs w:val="30"/>
              </w:rPr>
            </w:pPr>
          </w:p>
        </w:tc>
        <w:tc>
          <w:tcPr>
            <w:tcW w:w="687" w:type="dxa"/>
            <w:vMerge w:val="continue"/>
            <w:tcBorders>
              <w:top w:val="nil"/>
              <w:left w:val="nil"/>
              <w:bottom w:val="single"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商业</w:t>
            </w:r>
          </w:p>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企业</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科研</w:t>
            </w:r>
          </w:p>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机构</w:t>
            </w:r>
          </w:p>
        </w:tc>
        <w:tc>
          <w:tcPr>
            <w:tcW w:w="687"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社会公益组织</w:t>
            </w:r>
          </w:p>
        </w:tc>
        <w:tc>
          <w:tcPr>
            <w:tcW w:w="687"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法律服务机构</w:t>
            </w:r>
          </w:p>
        </w:tc>
        <w:tc>
          <w:tcPr>
            <w:tcW w:w="687"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其他</w:t>
            </w:r>
          </w:p>
        </w:tc>
        <w:tc>
          <w:tcPr>
            <w:tcW w:w="699"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一、本年新收政府信息公开申请数量</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０</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lang w:eastAsia="zh-CN"/>
              </w:rPr>
            </w:pPr>
            <w:r>
              <w:rPr>
                <w:rFonts w:hint="eastAsia" w:ascii="仿宋" w:hAnsi="仿宋" w:eastAsia="仿宋" w:cs="仿宋"/>
                <w:kern w:val="0"/>
                <w:sz w:val="30"/>
                <w:szCs w:val="30"/>
                <w:lang w:bidi="ar"/>
              </w:rPr>
              <w:t> </w:t>
            </w:r>
            <w:r>
              <w:rPr>
                <w:rFonts w:hint="eastAsia" w:ascii="仿宋" w:hAnsi="仿宋" w:eastAsia="仿宋" w:cs="仿宋"/>
                <w:kern w:val="0"/>
                <w:sz w:val="30"/>
                <w:szCs w:val="30"/>
                <w:lang w:eastAsia="zh-CN" w:bidi="ar"/>
              </w:rPr>
              <w:t>０</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lang w:eastAsia="zh-CN"/>
              </w:rPr>
            </w:pPr>
            <w:r>
              <w:rPr>
                <w:rFonts w:hint="eastAsia" w:ascii="仿宋" w:hAnsi="仿宋" w:eastAsia="仿宋" w:cs="仿宋"/>
                <w:kern w:val="0"/>
                <w:sz w:val="30"/>
                <w:szCs w:val="30"/>
                <w:lang w:eastAsia="zh-CN" w:bidi="ar"/>
              </w:rPr>
              <w:t>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二、上年结转政府信息公开申请数量</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 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 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三、本年度办理结果</w:t>
            </w:r>
          </w:p>
        </w:tc>
        <w:tc>
          <w:tcPr>
            <w:tcW w:w="4159" w:type="dxa"/>
            <w:gridSpan w:val="2"/>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（一）予以公开</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lang w:eastAsia="zh-CN"/>
              </w:rPr>
            </w:pPr>
            <w:r>
              <w:rPr>
                <w:rFonts w:hint="eastAsia" w:ascii="仿宋" w:hAnsi="仿宋" w:eastAsia="仿宋" w:cs="仿宋"/>
                <w:kern w:val="0"/>
                <w:sz w:val="30"/>
                <w:szCs w:val="30"/>
                <w:lang w:val="en-US" w:eastAsia="zh-CN" w:bidi="ar"/>
              </w:rPr>
              <w:t>０</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lang w:eastAsia="zh-CN"/>
              </w:rPr>
            </w:pPr>
            <w:r>
              <w:rPr>
                <w:rFonts w:hint="eastAsia" w:ascii="仿宋" w:hAnsi="仿宋" w:eastAsia="仿宋" w:cs="仿宋"/>
                <w:kern w:val="0"/>
                <w:sz w:val="30"/>
                <w:szCs w:val="3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 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 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single" w:color="auto" w:sz="8" w:space="0"/>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lang w:eastAsia="zh-CN"/>
              </w:rPr>
            </w:pPr>
            <w:r>
              <w:rPr>
                <w:rFonts w:hint="eastAsia" w:ascii="仿宋" w:hAnsi="仿宋" w:eastAsia="仿宋" w:cs="仿宋"/>
                <w:kern w:val="0"/>
                <w:sz w:val="30"/>
                <w:szCs w:val="30"/>
                <w:lang w:val="en-US" w:eastAsia="zh-CN" w:bidi="ar"/>
              </w:rPr>
              <w:t>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4159" w:type="dxa"/>
            <w:gridSpan w:val="2"/>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（二）部分公开（区分处理的，只计这一情形，不计其他情形）</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lang w:eastAsia="zh-CN"/>
              </w:rPr>
            </w:pPr>
            <w:r>
              <w:rPr>
                <w:rFonts w:hint="eastAsia" w:ascii="仿宋" w:hAnsi="仿宋" w:eastAsia="仿宋" w:cs="仿宋"/>
                <w:kern w:val="0"/>
                <w:sz w:val="30"/>
                <w:szCs w:val="3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lang w:eastAsia="zh-CN"/>
              </w:rPr>
            </w:pPr>
            <w:r>
              <w:rPr>
                <w:rFonts w:hint="eastAsia" w:ascii="仿宋" w:hAnsi="仿宋" w:eastAsia="仿宋" w:cs="仿宋"/>
                <w:kern w:val="0"/>
                <w:sz w:val="30"/>
                <w:szCs w:val="30"/>
                <w:lang w:val="en-US" w:eastAsia="zh-CN" w:bidi="ar"/>
              </w:rPr>
              <w:t>０</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 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 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ind w:firstLine="300" w:firstLineChars="100"/>
              <w:jc w:val="both"/>
              <w:rPr>
                <w:rFonts w:hint="eastAsia" w:ascii="仿宋" w:hAnsi="仿宋" w:eastAsia="仿宋" w:cs="仿宋"/>
                <w:sz w:val="30"/>
                <w:szCs w:val="30"/>
                <w:lang w:eastAsia="zh-CN"/>
              </w:rPr>
            </w:pPr>
            <w:r>
              <w:rPr>
                <w:rFonts w:hint="eastAsia" w:ascii="仿宋" w:hAnsi="仿宋" w:eastAsia="仿宋" w:cs="仿宋"/>
                <w:kern w:val="0"/>
                <w:sz w:val="30"/>
                <w:szCs w:val="30"/>
                <w:lang w:eastAsia="zh-CN" w:bidi="ar"/>
              </w:rPr>
              <w:t>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（三）不予公开</w:t>
            </w: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1.属于国家秘密</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single" w:color="auto" w:sz="8" w:space="0"/>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2.其他法律行政法规禁止公开</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3.危及“三安全一稳定”</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4.保护第三方合法权益</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sz w:val="30"/>
                <w:szCs w:val="3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5.属于三类内部事务信息</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6.属于四类过程性信息</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7.属于行政执法案卷</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8.属于行政查询事项</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（四）无法提供</w:t>
            </w: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1.本机关不掌握相关政府信息</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2.没有现成信息需要另行制作</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3.补正后申请内容仍不明确</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（五）不予处理</w:t>
            </w: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1.信访举报投诉类申请</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2.重复申请</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3.要求提供公开出版物</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4.无正当理由大量反复申请</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3215"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rPr>
                <w:rFonts w:hint="eastAsia" w:ascii="仿宋" w:hAnsi="仿宋" w:eastAsia="仿宋" w:cs="仿宋"/>
                <w:sz w:val="30"/>
                <w:szCs w:val="30"/>
              </w:rPr>
            </w:pPr>
            <w:r>
              <w:rPr>
                <w:rFonts w:hint="eastAsia" w:ascii="仿宋" w:hAnsi="仿宋" w:eastAsia="仿宋" w:cs="仿宋"/>
                <w:kern w:val="0"/>
                <w:sz w:val="30"/>
                <w:szCs w:val="30"/>
                <w:lang w:bidi="ar"/>
              </w:rPr>
              <w:t>5.要求行政机关确认或重新出具已获取信息</w:t>
            </w:r>
          </w:p>
        </w:tc>
        <w:tc>
          <w:tcPr>
            <w:tcW w:w="687"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outset"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（六）其他处理</w:t>
            </w:r>
          </w:p>
        </w:tc>
        <w:tc>
          <w:tcPr>
            <w:tcW w:w="321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rPr>
                <w:rFonts w:hint="eastAsia" w:ascii="仿宋" w:hAnsi="仿宋" w:eastAsia="仿宋" w:cs="仿宋"/>
                <w:sz w:val="30"/>
                <w:szCs w:val="30"/>
              </w:rPr>
            </w:pPr>
            <w:r>
              <w:rPr>
                <w:rFonts w:hint="eastAsia" w:ascii="仿宋" w:hAnsi="仿宋" w:eastAsia="仿宋" w:cs="仿宋"/>
                <w:kern w:val="0"/>
                <w:sz w:val="30"/>
                <w:szCs w:val="30"/>
                <w:lang w:bidi="ar"/>
              </w:rPr>
              <w:t>1.申请人无正当理由逾期不补正、行政机关不再处理其政府信息公开申请</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321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rPr>
                <w:rFonts w:hint="eastAsia" w:ascii="仿宋" w:hAnsi="仿宋" w:eastAsia="仿宋" w:cs="仿宋"/>
                <w:sz w:val="30"/>
                <w:szCs w:val="30"/>
              </w:rPr>
            </w:pPr>
            <w:r>
              <w:rPr>
                <w:rFonts w:hint="eastAsia" w:ascii="仿宋" w:hAnsi="仿宋" w:eastAsia="仿宋" w:cs="仿宋"/>
                <w:kern w:val="0"/>
                <w:sz w:val="30"/>
                <w:szCs w:val="30"/>
                <w:lang w:bidi="ar"/>
              </w:rPr>
              <w:t>2.申请人逾期未按收费通知要求缴纳费用、行政机关不再处理其政府信息公开申请</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944"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321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3.其他</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hint="eastAsia" w:ascii="仿宋" w:hAnsi="仿宋" w:eastAsia="仿宋" w:cs="仿宋"/>
                <w:sz w:val="30"/>
                <w:szCs w:val="30"/>
              </w:rPr>
            </w:pPr>
          </w:p>
        </w:tc>
        <w:tc>
          <w:tcPr>
            <w:tcW w:w="4159" w:type="dxa"/>
            <w:gridSpan w:val="2"/>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（七）总计</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ascii="仿宋" w:hAnsi="仿宋" w:eastAsia="仿宋" w:cs="仿宋"/>
                <w:sz w:val="30"/>
                <w:szCs w:val="30"/>
                <w:lang w:val="en-US" w:eastAsia="zh-CN"/>
              </w:rPr>
            </w:pPr>
            <w:r>
              <w:rPr>
                <w:rFonts w:hint="eastAsia" w:ascii="仿宋" w:hAnsi="仿宋" w:eastAsia="仿宋" w:cs="仿宋"/>
                <w:kern w:val="0"/>
                <w:sz w:val="30"/>
                <w:szCs w:val="3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87" w:type="dxa"/>
            <w:tcBorders>
              <w:top w:val="nil"/>
              <w:left w:val="nil"/>
              <w:bottom w:val="single" w:color="auto" w:sz="8" w:space="0"/>
              <w:right w:val="single" w:color="auto" w:sz="8" w:space="0"/>
            </w:tcBorders>
            <w:tcMar>
              <w:left w:w="57" w:type="dxa"/>
              <w:right w:w="57" w:type="dxa"/>
            </w:tcMar>
          </w:tcPr>
          <w:p>
            <w:pPr>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87" w:type="dxa"/>
            <w:tcBorders>
              <w:top w:val="nil"/>
              <w:left w:val="nil"/>
              <w:bottom w:val="single" w:color="auto" w:sz="8" w:space="0"/>
              <w:right w:val="single" w:color="auto" w:sz="8" w:space="0"/>
            </w:tcBorders>
            <w:tcMar>
              <w:left w:w="57" w:type="dxa"/>
              <w:right w:w="57" w:type="dxa"/>
            </w:tcMar>
          </w:tcPr>
          <w:p>
            <w:pPr>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87" w:type="dxa"/>
            <w:tcBorders>
              <w:top w:val="nil"/>
              <w:left w:val="nil"/>
              <w:bottom w:val="single" w:color="auto" w:sz="8" w:space="0"/>
              <w:right w:val="single" w:color="auto" w:sz="8" w:space="0"/>
            </w:tcBorders>
            <w:tcMar>
              <w:left w:w="57" w:type="dxa"/>
              <w:right w:w="57" w:type="dxa"/>
            </w:tcMar>
          </w:tcPr>
          <w:p>
            <w:pPr>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rPr>
                <w:rFonts w:hint="eastAsia" w:ascii="仿宋" w:hAnsi="仿宋" w:eastAsia="仿宋" w:cs="仿宋"/>
                <w:sz w:val="30"/>
                <w:szCs w:val="30"/>
                <w:lang w:eastAsia="zh-CN"/>
              </w:rPr>
            </w:pPr>
            <w:r>
              <w:rPr>
                <w:rFonts w:hint="eastAsia" w:ascii="仿宋" w:hAnsi="仿宋" w:eastAsia="仿宋" w:cs="仿宋"/>
                <w:kern w:val="0"/>
                <w:sz w:val="30"/>
                <w:szCs w:val="3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rPr>
                <w:rFonts w:hint="eastAsia" w:ascii="仿宋" w:hAnsi="仿宋" w:eastAsia="仿宋" w:cs="仿宋"/>
                <w:sz w:val="30"/>
                <w:szCs w:val="30"/>
              </w:rPr>
            </w:pPr>
            <w:r>
              <w:rPr>
                <w:rFonts w:hint="eastAsia" w:ascii="仿宋" w:hAnsi="仿宋" w:eastAsia="仿宋" w:cs="仿宋"/>
                <w:kern w:val="0"/>
                <w:sz w:val="30"/>
                <w:szCs w:val="30"/>
                <w:lang w:bidi="ar"/>
              </w:rPr>
              <w:t>四、结转下年度继续办理</w:t>
            </w:r>
          </w:p>
        </w:tc>
        <w:tc>
          <w:tcPr>
            <w:tcW w:w="687" w:type="dxa"/>
            <w:tcBorders>
              <w:top w:val="nil"/>
              <w:left w:val="nil"/>
              <w:bottom w:val="single" w:color="auto" w:sz="8" w:space="0"/>
              <w:right w:val="single" w:color="auto" w:sz="8" w:space="0"/>
            </w:tcBorders>
            <w:tcMar>
              <w:left w:w="57" w:type="dxa"/>
              <w:right w:w="57" w:type="dxa"/>
            </w:tcMar>
          </w:tcPr>
          <w:p>
            <w:pPr>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87" w:type="dxa"/>
            <w:tcBorders>
              <w:top w:val="nil"/>
              <w:left w:val="nil"/>
              <w:bottom w:val="single" w:color="auto" w:sz="8" w:space="0"/>
              <w:right w:val="single" w:color="auto" w:sz="8" w:space="0"/>
            </w:tcBorders>
            <w:tcMar>
              <w:left w:w="57" w:type="dxa"/>
              <w:right w:w="57" w:type="dxa"/>
            </w:tcMar>
          </w:tcPr>
          <w:p>
            <w:pPr>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87" w:type="dxa"/>
            <w:tcBorders>
              <w:top w:val="nil"/>
              <w:left w:val="nil"/>
              <w:bottom w:val="single" w:color="auto" w:sz="8" w:space="0"/>
              <w:right w:val="single" w:color="auto" w:sz="8" w:space="0"/>
            </w:tcBorders>
            <w:tcMar>
              <w:left w:w="57" w:type="dxa"/>
              <w:right w:w="57" w:type="dxa"/>
            </w:tcMar>
          </w:tcPr>
          <w:p>
            <w:pPr>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87" w:type="dxa"/>
            <w:tcBorders>
              <w:top w:val="nil"/>
              <w:left w:val="nil"/>
              <w:bottom w:val="single" w:color="auto" w:sz="8" w:space="0"/>
              <w:right w:val="single" w:color="auto" w:sz="8" w:space="0"/>
            </w:tcBorders>
            <w:tcMar>
              <w:left w:w="57" w:type="dxa"/>
              <w:right w:w="57" w:type="dxa"/>
            </w:tcMar>
          </w:tcPr>
          <w:p>
            <w:pPr>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87" w:type="dxa"/>
            <w:tcBorders>
              <w:top w:val="nil"/>
              <w:left w:val="nil"/>
              <w:bottom w:val="single" w:color="auto" w:sz="8" w:space="0"/>
              <w:right w:val="single" w:color="auto" w:sz="8" w:space="0"/>
            </w:tcBorders>
            <w:tcMar>
              <w:left w:w="57" w:type="dxa"/>
              <w:right w:w="57" w:type="dxa"/>
            </w:tcMar>
          </w:tcPr>
          <w:p>
            <w:pPr>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87" w:type="dxa"/>
            <w:tcBorders>
              <w:top w:val="nil"/>
              <w:left w:val="nil"/>
              <w:bottom w:val="single" w:color="auto" w:sz="8" w:space="0"/>
              <w:right w:val="single" w:color="auto" w:sz="8" w:space="0"/>
            </w:tcBorders>
            <w:tcMar>
              <w:left w:w="57" w:type="dxa"/>
              <w:right w:w="57" w:type="dxa"/>
            </w:tcMar>
          </w:tcPr>
          <w:p>
            <w:pPr>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99" w:type="dxa"/>
            <w:tcBorders>
              <w:top w:val="nil"/>
              <w:left w:val="nil"/>
              <w:bottom w:val="single" w:color="auto" w:sz="8" w:space="0"/>
              <w:right w:val="single" w:color="auto" w:sz="8" w:space="0"/>
            </w:tcBorders>
            <w:tcMar>
              <w:left w:w="57" w:type="dxa"/>
              <w:right w:w="57" w:type="dxa"/>
            </w:tcMar>
          </w:tcPr>
          <w:p>
            <w:pPr>
              <w:spacing w:line="560" w:lineRule="exact"/>
              <w:jc w:val="center"/>
              <w:rPr>
                <w:rFonts w:hint="eastAsia" w:ascii="仿宋" w:hAnsi="仿宋" w:eastAsia="仿宋" w:cs="仿宋"/>
                <w:sz w:val="30"/>
                <w:szCs w:val="30"/>
                <w:highlight w:val="cyan"/>
              </w:rPr>
            </w:pPr>
            <w:r>
              <w:rPr>
                <w:rFonts w:hint="eastAsia" w:ascii="仿宋" w:hAnsi="仿宋" w:eastAsia="仿宋" w:cs="仿宋"/>
                <w:sz w:val="30"/>
                <w:szCs w:val="30"/>
              </w:rPr>
              <w:t>0</w:t>
            </w:r>
          </w:p>
        </w:tc>
      </w:tr>
    </w:tbl>
    <w:p>
      <w:pPr>
        <w:spacing w:line="560" w:lineRule="exact"/>
        <w:ind w:firstLine="600" w:firstLineChars="200"/>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结果维持</w:t>
            </w:r>
          </w:p>
        </w:tc>
        <w:tc>
          <w:tcPr>
            <w:tcW w:w="650"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结果</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其他</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尚未</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hint="eastAsia" w:ascii="仿宋" w:hAnsi="仿宋" w:eastAsia="仿宋" w:cs="仿宋"/>
                <w:sz w:val="30"/>
                <w:szCs w:val="30"/>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hint="eastAsia" w:ascii="仿宋" w:hAnsi="仿宋" w:eastAsia="仿宋" w:cs="仿宋"/>
                <w:sz w:val="30"/>
                <w:szCs w:val="3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hint="eastAsia" w:ascii="仿宋" w:hAnsi="仿宋" w:eastAsia="仿宋" w:cs="仿宋"/>
                <w:sz w:val="30"/>
                <w:szCs w:val="3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hint="eastAsia" w:ascii="仿宋" w:hAnsi="仿宋" w:eastAsia="仿宋" w:cs="仿宋"/>
                <w:sz w:val="30"/>
                <w:szCs w:val="3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hint="eastAsia" w:ascii="仿宋" w:hAnsi="仿宋" w:eastAsia="仿宋" w:cs="仿宋"/>
                <w:sz w:val="30"/>
                <w:szCs w:val="30"/>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结果</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结果</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其他</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尚未</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结果</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结果</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其他</w:t>
            </w:r>
            <w:r>
              <w:rPr>
                <w:rFonts w:hint="eastAsia" w:ascii="仿宋" w:hAnsi="仿宋" w:eastAsia="仿宋" w:cs="仿宋"/>
                <w:color w:val="000000"/>
                <w:kern w:val="0"/>
                <w:sz w:val="30"/>
                <w:szCs w:val="30"/>
                <w:lang w:bidi="ar"/>
              </w:rPr>
              <w:br w:type="textWrapping"/>
            </w:r>
            <w:r>
              <w:rPr>
                <w:rFonts w:hint="eastAsia" w:ascii="仿宋" w:hAnsi="仿宋" w:eastAsia="仿宋" w:cs="仿宋"/>
                <w:color w:val="000000"/>
                <w:kern w:val="0"/>
                <w:sz w:val="30"/>
                <w:szCs w:val="3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尚未</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color w:val="000000"/>
                <w:kern w:val="0"/>
                <w:sz w:val="30"/>
                <w:szCs w:val="3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0 </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rPr>
                <w:rFonts w:hint="eastAsia" w:ascii="仿宋" w:hAnsi="仿宋" w:eastAsia="仿宋" w:cs="仿宋"/>
                <w:sz w:val="30"/>
                <w:szCs w:val="30"/>
              </w:rPr>
            </w:pPr>
            <w:r>
              <w:rPr>
                <w:rFonts w:hint="eastAsia" w:ascii="仿宋" w:hAnsi="仿宋" w:eastAsia="仿宋" w:cs="仿宋"/>
                <w:kern w:val="0"/>
                <w:sz w:val="30"/>
                <w:szCs w:val="3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spacing w:line="560" w:lineRule="exact"/>
              <w:rPr>
                <w:rFonts w:hint="eastAsia" w:ascii="仿宋" w:hAnsi="仿宋" w:eastAsia="仿宋" w:cs="仿宋"/>
                <w:sz w:val="30"/>
                <w:szCs w:val="30"/>
              </w:rPr>
            </w:pPr>
            <w:r>
              <w:rPr>
                <w:rFonts w:hint="eastAsia" w:ascii="仿宋" w:hAnsi="仿宋" w:eastAsia="仿宋" w:cs="仿宋"/>
                <w:kern w:val="0"/>
                <w:sz w:val="30"/>
                <w:szCs w:val="30"/>
                <w:lang w:bidi="ar"/>
              </w:rPr>
              <w:t>0</w:t>
            </w:r>
          </w:p>
        </w:tc>
      </w:tr>
    </w:tbl>
    <w:p>
      <w:pPr>
        <w:spacing w:line="560" w:lineRule="exact"/>
        <w:ind w:firstLine="600" w:firstLineChars="200"/>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五、存在的主要问题及改进情况</w:t>
      </w:r>
    </w:p>
    <w:p>
      <w:pPr>
        <w:spacing w:line="560" w:lineRule="exact"/>
        <w:ind w:firstLine="600" w:firstLineChars="200"/>
        <w:rPr>
          <w:rFonts w:hint="eastAsia" w:ascii="仿宋" w:hAnsi="仿宋" w:eastAsia="仿宋" w:cs="仿宋"/>
          <w:b w:val="0"/>
          <w:bCs w:val="0"/>
          <w:i w:val="0"/>
          <w:iCs w:val="0"/>
          <w:caps w:val="0"/>
          <w:color w:val="333333"/>
          <w:spacing w:val="0"/>
          <w:sz w:val="30"/>
          <w:szCs w:val="30"/>
          <w:shd w:val="clear" w:fill="FFFFFF"/>
          <w:lang w:val="en-US" w:eastAsia="zh-CN"/>
        </w:rPr>
      </w:pPr>
      <w:r>
        <w:rPr>
          <w:rFonts w:hint="eastAsia" w:ascii="仿宋" w:hAnsi="仿宋" w:eastAsia="仿宋" w:cs="仿宋"/>
          <w:b w:val="0"/>
          <w:bCs w:val="0"/>
          <w:color w:val="333333"/>
          <w:sz w:val="30"/>
          <w:szCs w:val="30"/>
          <w:shd w:val="clear" w:color="auto" w:fill="FFFFFF"/>
          <w:lang w:eastAsia="zh-CN"/>
        </w:rPr>
        <w:t>主要问题：</w:t>
      </w:r>
      <w:r>
        <w:rPr>
          <w:rFonts w:hint="eastAsia" w:ascii="仿宋" w:hAnsi="仿宋" w:eastAsia="仿宋" w:cs="仿宋"/>
          <w:b w:val="0"/>
          <w:bCs w:val="0"/>
          <w:i w:val="0"/>
          <w:iCs w:val="0"/>
          <w:caps w:val="0"/>
          <w:color w:val="333333"/>
          <w:spacing w:val="0"/>
          <w:sz w:val="30"/>
          <w:szCs w:val="30"/>
          <w:shd w:val="clear" w:fill="FFFFFF"/>
          <w:lang w:eastAsia="zh-CN"/>
        </w:rPr>
        <w:t>一是队伍建设有待加强，专业素质还需进一步提高；二是对信息公开工作认识不足，政府信息公开的尺度难以把握等问题；三是政务公开长效机制有待进一步完善，现有制度执行力度还有待加强。</w:t>
      </w:r>
    </w:p>
    <w:p>
      <w:pPr>
        <w:spacing w:line="560" w:lineRule="exact"/>
        <w:ind w:firstLine="600" w:firstLineChars="200"/>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b w:val="0"/>
          <w:bCs w:val="0"/>
          <w:color w:val="333333"/>
          <w:sz w:val="30"/>
          <w:szCs w:val="30"/>
          <w:shd w:val="clear" w:color="auto" w:fill="FFFFFF"/>
          <w:lang w:eastAsia="zh-CN"/>
        </w:rPr>
        <w:t>改进情况：</w:t>
      </w:r>
      <w:r>
        <w:rPr>
          <w:rFonts w:hint="eastAsia" w:ascii="仿宋" w:hAnsi="仿宋" w:eastAsia="仿宋" w:cs="仿宋"/>
          <w:i w:val="0"/>
          <w:iCs w:val="0"/>
          <w:caps w:val="0"/>
          <w:color w:val="333333"/>
          <w:spacing w:val="0"/>
          <w:sz w:val="30"/>
          <w:szCs w:val="30"/>
          <w:shd w:val="clear" w:fill="FFFFFF"/>
          <w:lang w:eastAsia="zh-CN"/>
        </w:rPr>
        <w:t>一是配强队伍，加大培训力度，提高业务水平。组织工作人员深入学习《条例》相关文件精神，积极参加上级组织的培训会，增强干部的信息公开主动公开意识，提高工作人员业务水平，确保信息公开工作顺利开展；二是进一步加强对政务公开工作的指导和监督，健全有关检查制度、责任追究制度、反馈制度，确保把</w:t>
      </w:r>
      <w:r>
        <w:rPr>
          <w:rFonts w:hint="eastAsia" w:ascii="仿宋" w:hAnsi="仿宋" w:eastAsia="仿宋" w:cs="仿宋"/>
          <w:i w:val="0"/>
          <w:iCs w:val="0"/>
          <w:caps w:val="0"/>
          <w:color w:val="333333"/>
          <w:spacing w:val="0"/>
          <w:sz w:val="30"/>
          <w:szCs w:val="30"/>
          <w:shd w:val="clear" w:fill="FFFFFF"/>
          <w:lang w:val="en-US" w:eastAsia="zh-CN"/>
        </w:rPr>
        <w:t>我局</w:t>
      </w:r>
      <w:r>
        <w:rPr>
          <w:rFonts w:hint="eastAsia" w:ascii="仿宋" w:hAnsi="仿宋" w:eastAsia="仿宋" w:cs="仿宋"/>
          <w:i w:val="0"/>
          <w:iCs w:val="0"/>
          <w:caps w:val="0"/>
          <w:color w:val="333333"/>
          <w:spacing w:val="0"/>
          <w:sz w:val="30"/>
          <w:szCs w:val="30"/>
          <w:shd w:val="clear" w:fill="FFFFFF"/>
          <w:lang w:eastAsia="zh-CN"/>
        </w:rPr>
        <w:t>政府信息公开工作落到实处；三是进一步健全和完善政府信息公开制度，规范公开内容，提高公开质量。</w:t>
      </w:r>
    </w:p>
    <w:p>
      <w:pPr>
        <w:spacing w:line="560" w:lineRule="exact"/>
        <w:ind w:firstLine="600" w:firstLineChars="200"/>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六、其他需要报告的事项</w:t>
      </w:r>
    </w:p>
    <w:p>
      <w:pPr>
        <w:adjustRightInd w:val="0"/>
        <w:snapToGrid w:val="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（一）收取信息处理费情况。</w:t>
      </w:r>
    </w:p>
    <w:p>
      <w:pPr>
        <w:spacing w:line="560" w:lineRule="exact"/>
        <w:ind w:firstLine="600" w:firstLineChars="200"/>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w:t>
      </w:r>
      <w:r>
        <w:rPr>
          <w:rFonts w:hint="eastAsia" w:ascii="仿宋" w:hAnsi="仿宋" w:eastAsia="仿宋" w:cs="仿宋"/>
          <w:i w:val="0"/>
          <w:iCs w:val="0"/>
          <w:caps w:val="0"/>
          <w:color w:val="333333"/>
          <w:spacing w:val="0"/>
          <w:sz w:val="30"/>
          <w:szCs w:val="30"/>
          <w:shd w:val="clear" w:fill="FFFFFF"/>
          <w:lang w:val="en" w:eastAsia="zh-CN"/>
        </w:rPr>
        <w:t>3</w:t>
      </w:r>
      <w:r>
        <w:rPr>
          <w:rFonts w:hint="eastAsia" w:ascii="仿宋" w:hAnsi="仿宋" w:eastAsia="仿宋" w:cs="仿宋"/>
          <w:i w:val="0"/>
          <w:iCs w:val="0"/>
          <w:caps w:val="0"/>
          <w:color w:val="333333"/>
          <w:spacing w:val="0"/>
          <w:sz w:val="30"/>
          <w:szCs w:val="30"/>
          <w:shd w:val="clear" w:fill="FFFFFF"/>
          <w:lang w:val="en-US" w:eastAsia="zh-CN"/>
        </w:rPr>
        <w:t>年度未收取政府信息公开信息处理费，包括：检索费、复制费（含案卷材料复制费）、邮寄费。</w:t>
      </w:r>
    </w:p>
    <w:p>
      <w:pPr>
        <w:spacing w:line="560" w:lineRule="exact"/>
        <w:ind w:firstLine="600" w:firstLineChars="200"/>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（二）落实台儿庄区202</w:t>
      </w:r>
      <w:r>
        <w:rPr>
          <w:rFonts w:hint="eastAsia" w:ascii="仿宋" w:hAnsi="仿宋" w:eastAsia="仿宋" w:cs="仿宋"/>
          <w:i w:val="0"/>
          <w:iCs w:val="0"/>
          <w:caps w:val="0"/>
          <w:color w:val="333333"/>
          <w:spacing w:val="0"/>
          <w:sz w:val="30"/>
          <w:szCs w:val="30"/>
          <w:shd w:val="clear" w:fill="FFFFFF"/>
          <w:lang w:val="en" w:eastAsia="zh-CN"/>
        </w:rPr>
        <w:t>3</w:t>
      </w:r>
      <w:r>
        <w:rPr>
          <w:rFonts w:hint="eastAsia" w:ascii="仿宋" w:hAnsi="仿宋" w:eastAsia="仿宋" w:cs="仿宋"/>
          <w:i w:val="0"/>
          <w:iCs w:val="0"/>
          <w:caps w:val="0"/>
          <w:color w:val="333333"/>
          <w:spacing w:val="0"/>
          <w:sz w:val="30"/>
          <w:szCs w:val="30"/>
          <w:shd w:val="clear" w:fill="FFFFFF"/>
          <w:lang w:val="en-US" w:eastAsia="zh-CN"/>
        </w:rPr>
        <w:t>年度政务公开工作要点情况</w:t>
      </w:r>
    </w:p>
    <w:p>
      <w:pPr>
        <w:spacing w:line="560" w:lineRule="exact"/>
        <w:ind w:firstLine="600" w:firstLineChars="200"/>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枣庄市生态环境局台儿庄分局按照《台儿庄区人民政府办公室关于做好 2023 年政府信息公开工作年度报告编制和发布工作的通知》，根据任务分工要求和结合本单位实际，明确我局各科室职责分工情况，积极推进工作落实，努力做好政府信息公开工作。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三</w:t>
      </w:r>
      <w:r>
        <w:rPr>
          <w:rFonts w:hint="eastAsia" w:ascii="仿宋" w:hAnsi="仿宋" w:eastAsia="仿宋" w:cs="仿宋"/>
          <w:sz w:val="30"/>
          <w:szCs w:val="30"/>
        </w:rPr>
        <w:t>）人大代表建议和政协提案办理</w:t>
      </w:r>
      <w:r>
        <w:rPr>
          <w:rFonts w:hint="eastAsia" w:ascii="仿宋" w:hAnsi="仿宋" w:eastAsia="仿宋" w:cs="仿宋"/>
          <w:sz w:val="30"/>
          <w:szCs w:val="30"/>
          <w:lang w:eastAsia="zh-CN"/>
        </w:rPr>
        <w:t>结果</w:t>
      </w:r>
      <w:bookmarkStart w:id="0" w:name="_GoBack"/>
      <w:bookmarkEnd w:id="0"/>
      <w:r>
        <w:rPr>
          <w:rFonts w:hint="eastAsia" w:ascii="仿宋" w:hAnsi="仿宋" w:eastAsia="仿宋" w:cs="仿宋"/>
          <w:sz w:val="30"/>
          <w:szCs w:val="30"/>
        </w:rPr>
        <w:t>公开情况。</w:t>
      </w:r>
    </w:p>
    <w:p>
      <w:pPr>
        <w:adjustRightInd w:val="0"/>
        <w:snapToGrid w:val="0"/>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w:t>
      </w:r>
      <w:r>
        <w:rPr>
          <w:rFonts w:hint="eastAsia" w:ascii="仿宋" w:hAnsi="仿宋" w:eastAsia="仿宋" w:cs="仿宋"/>
          <w:sz w:val="30"/>
          <w:szCs w:val="30"/>
          <w:lang w:val="en" w:eastAsia="zh-CN"/>
        </w:rPr>
        <w:t>3</w:t>
      </w:r>
      <w:r>
        <w:rPr>
          <w:rFonts w:hint="eastAsia" w:ascii="仿宋" w:hAnsi="仿宋" w:eastAsia="仿宋" w:cs="仿宋"/>
          <w:sz w:val="30"/>
          <w:szCs w:val="30"/>
          <w:lang w:val="en-US" w:eastAsia="zh-CN"/>
        </w:rPr>
        <w:t>年枣庄市生态环境局台儿庄分局未承办人大代表建议及政协委员提案。</w:t>
      </w:r>
    </w:p>
    <w:p>
      <w:pPr>
        <w:spacing w:line="560" w:lineRule="exact"/>
        <w:ind w:firstLine="600" w:firstLineChars="200"/>
        <w:rPr>
          <w:rFonts w:hint="eastAsia" w:ascii="仿宋" w:hAnsi="仿宋" w:eastAsia="仿宋" w:cs="仿宋"/>
          <w:color w:val="333333"/>
          <w:kern w:val="0"/>
          <w:sz w:val="30"/>
          <w:szCs w:val="30"/>
          <w:shd w:val="clear" w:color="auto" w:fill="FFFFFF"/>
        </w:rPr>
      </w:pPr>
      <w:r>
        <w:rPr>
          <w:rFonts w:hint="eastAsia" w:ascii="仿宋" w:hAnsi="仿宋" w:eastAsia="仿宋" w:cs="仿宋"/>
          <w:color w:val="333333"/>
          <w:kern w:val="0"/>
          <w:sz w:val="30"/>
          <w:szCs w:val="30"/>
          <w:shd w:val="clear" w:color="auto" w:fill="FFFFFF"/>
        </w:rPr>
        <w:t>（四）</w:t>
      </w:r>
      <w:r>
        <w:rPr>
          <w:rFonts w:hint="eastAsia" w:ascii="仿宋" w:hAnsi="仿宋" w:eastAsia="仿宋" w:cs="仿宋"/>
          <w:sz w:val="30"/>
          <w:szCs w:val="30"/>
          <w:lang w:val="en-US" w:eastAsia="zh-CN"/>
        </w:rPr>
        <w:t>枣庄市生态环境局台儿庄分局</w:t>
      </w:r>
      <w:r>
        <w:rPr>
          <w:rFonts w:hint="eastAsia" w:ascii="仿宋" w:hAnsi="仿宋" w:eastAsia="仿宋" w:cs="仿宋"/>
          <w:color w:val="333333"/>
          <w:kern w:val="0"/>
          <w:sz w:val="30"/>
          <w:szCs w:val="30"/>
          <w:shd w:val="clear" w:color="auto" w:fill="FFFFFF"/>
        </w:rPr>
        <w:t>202</w:t>
      </w:r>
      <w:r>
        <w:rPr>
          <w:rFonts w:hint="eastAsia" w:ascii="仿宋" w:hAnsi="仿宋" w:eastAsia="仿宋" w:cs="仿宋"/>
          <w:color w:val="333333"/>
          <w:kern w:val="0"/>
          <w:sz w:val="30"/>
          <w:szCs w:val="30"/>
          <w:shd w:val="clear" w:color="auto" w:fill="FFFFFF"/>
          <w:lang w:val="en"/>
        </w:rPr>
        <w:t>3</w:t>
      </w:r>
      <w:r>
        <w:rPr>
          <w:rFonts w:hint="eastAsia" w:ascii="仿宋" w:hAnsi="仿宋" w:eastAsia="仿宋" w:cs="仿宋"/>
          <w:color w:val="333333"/>
          <w:kern w:val="0"/>
          <w:sz w:val="30"/>
          <w:szCs w:val="30"/>
          <w:shd w:val="clear" w:color="auto" w:fill="FFFFFF"/>
        </w:rPr>
        <w:t>年度政务公开工作创新情况</w:t>
      </w:r>
    </w:p>
    <w:p>
      <w:pPr>
        <w:adjustRightInd w:val="0"/>
        <w:snapToGrid w:val="0"/>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发挥新媒体平台特点和传播优势，创新发布方式，“台儿庄环保”微信公众号运营以来，与台儿庄区政府门户网站实现信息互动、信息共享，发布环保信息112条，营造了良好的环保舆论氛围。</w:t>
      </w:r>
    </w:p>
    <w:p>
      <w:pPr>
        <w:spacing w:line="560" w:lineRule="exact"/>
        <w:ind w:firstLine="600" w:firstLineChars="200"/>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rPr>
        <w:t>（五）</w:t>
      </w:r>
      <w:r>
        <w:rPr>
          <w:rFonts w:hint="eastAsia" w:ascii="仿宋" w:hAnsi="仿宋" w:eastAsia="仿宋" w:cs="仿宋"/>
          <w:sz w:val="30"/>
          <w:szCs w:val="30"/>
          <w:lang w:val="en-US" w:eastAsia="zh-CN"/>
        </w:rPr>
        <w:t>枣庄市生态环境局台儿庄分局</w:t>
      </w:r>
      <w:r>
        <w:rPr>
          <w:rFonts w:hint="eastAsia" w:ascii="仿宋" w:hAnsi="仿宋" w:eastAsia="仿宋" w:cs="仿宋"/>
          <w:color w:val="333333"/>
          <w:kern w:val="0"/>
          <w:sz w:val="30"/>
          <w:szCs w:val="30"/>
          <w:shd w:val="clear" w:color="auto" w:fill="FFFFFF"/>
        </w:rPr>
        <w:t>202</w:t>
      </w:r>
      <w:r>
        <w:rPr>
          <w:rFonts w:hint="eastAsia" w:ascii="仿宋" w:hAnsi="仿宋" w:eastAsia="仿宋" w:cs="仿宋"/>
          <w:color w:val="333333"/>
          <w:kern w:val="0"/>
          <w:sz w:val="30"/>
          <w:szCs w:val="30"/>
          <w:shd w:val="clear" w:color="auto" w:fill="FFFFFF"/>
          <w:lang w:val="en" w:eastAsia="zh-CN"/>
        </w:rPr>
        <w:t>3</w:t>
      </w:r>
      <w:r>
        <w:rPr>
          <w:rFonts w:hint="eastAsia" w:ascii="仿宋" w:hAnsi="仿宋" w:eastAsia="仿宋" w:cs="仿宋"/>
          <w:color w:val="333333"/>
          <w:kern w:val="0"/>
          <w:sz w:val="30"/>
          <w:szCs w:val="30"/>
          <w:shd w:val="clear" w:color="auto" w:fill="FFFFFF"/>
        </w:rPr>
        <w:t>年度政府信息公开工作年度报告数据统计需要说明的事项</w:t>
      </w:r>
      <w:r>
        <w:rPr>
          <w:rFonts w:hint="eastAsia" w:ascii="仿宋" w:hAnsi="仿宋" w:eastAsia="仿宋" w:cs="仿宋"/>
          <w:color w:val="333333"/>
          <w:kern w:val="0"/>
          <w:sz w:val="30"/>
          <w:szCs w:val="30"/>
          <w:shd w:val="clear" w:color="auto" w:fill="FFFFFF"/>
          <w:lang w:eastAsia="zh-CN"/>
        </w:rPr>
        <w:t>。</w:t>
      </w:r>
    </w:p>
    <w:p>
      <w:pPr>
        <w:adjustRightInd w:val="0"/>
        <w:snapToGrid w:val="0"/>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本年度报告中所列各项数据的统计期限自202</w:t>
      </w:r>
      <w:r>
        <w:rPr>
          <w:rFonts w:hint="eastAsia" w:ascii="仿宋" w:hAnsi="仿宋" w:eastAsia="仿宋" w:cs="仿宋"/>
          <w:sz w:val="30"/>
          <w:szCs w:val="30"/>
          <w:lang w:val="en" w:eastAsia="zh-CN"/>
        </w:rPr>
        <w:t>3</w:t>
      </w:r>
      <w:r>
        <w:rPr>
          <w:rFonts w:hint="eastAsia" w:ascii="仿宋" w:hAnsi="仿宋" w:eastAsia="仿宋" w:cs="仿宋"/>
          <w:sz w:val="30"/>
          <w:szCs w:val="30"/>
          <w:lang w:val="en-US" w:eastAsia="zh-CN"/>
        </w:rPr>
        <w:t>年1月1日至202</w:t>
      </w:r>
      <w:r>
        <w:rPr>
          <w:rFonts w:hint="eastAsia" w:ascii="仿宋" w:hAnsi="仿宋" w:eastAsia="仿宋" w:cs="仿宋"/>
          <w:sz w:val="30"/>
          <w:szCs w:val="30"/>
          <w:lang w:val="en" w:eastAsia="zh-CN"/>
        </w:rPr>
        <w:t>3</w:t>
      </w:r>
      <w:r>
        <w:rPr>
          <w:rFonts w:hint="eastAsia" w:ascii="仿宋" w:hAnsi="仿宋" w:eastAsia="仿宋" w:cs="仿宋"/>
          <w:sz w:val="30"/>
          <w:szCs w:val="30"/>
          <w:lang w:val="en-US" w:eastAsia="zh-CN"/>
        </w:rPr>
        <w:t>年12月31日。本年度报告的电子版可在台儿庄区政府门户网站（http://www.tez.gov.cn/）下载。如对本报告有任何疑问，请与枣庄市生态环境局台儿庄分局办公室联系（地址：山东省枣庄市台儿庄区文化路</w:t>
      </w:r>
      <w:r>
        <w:rPr>
          <w:rFonts w:hint="eastAsia" w:ascii="仿宋" w:hAnsi="仿宋" w:eastAsia="仿宋" w:cs="仿宋"/>
          <w:sz w:val="30"/>
          <w:szCs w:val="30"/>
          <w:lang w:val="en" w:eastAsia="zh-CN"/>
        </w:rPr>
        <w:t>258</w:t>
      </w:r>
      <w:r>
        <w:rPr>
          <w:rFonts w:hint="eastAsia" w:ascii="仿宋" w:hAnsi="仿宋" w:eastAsia="仿宋" w:cs="仿宋"/>
          <w:sz w:val="30"/>
          <w:szCs w:val="30"/>
          <w:lang w:val="en-US" w:eastAsia="zh-CN"/>
        </w:rPr>
        <w:t>号，邮编：277400，电话：</w:t>
      </w:r>
      <w:r>
        <w:rPr>
          <w:rFonts w:hint="eastAsia" w:ascii="仿宋" w:hAnsi="仿宋" w:eastAsia="仿宋" w:cs="仿宋"/>
          <w:sz w:val="30"/>
          <w:szCs w:val="30"/>
          <w:lang w:val="en" w:eastAsia="zh-CN"/>
        </w:rPr>
        <w:t>06326611772</w:t>
      </w:r>
      <w:r>
        <w:rPr>
          <w:rFonts w:hint="eastAsia" w:ascii="仿宋" w:hAnsi="仿宋" w:eastAsia="仿宋" w:cs="仿宋"/>
          <w:sz w:val="30"/>
          <w:szCs w:val="30"/>
          <w:lang w:val="en-US" w:eastAsia="zh-CN"/>
        </w:rPr>
        <w:t>，电子邮箱：</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"mailto:aqhbjbgs@wf.shandong.cn）。" </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 w:eastAsia="zh-CN"/>
        </w:rPr>
        <w:t>tezhb</w:t>
      </w:r>
      <w:r>
        <w:rPr>
          <w:rFonts w:hint="eastAsia" w:ascii="仿宋" w:hAnsi="仿宋" w:eastAsia="仿宋" w:cs="仿宋"/>
          <w:sz w:val="30"/>
          <w:szCs w:val="30"/>
          <w:lang w:val="en-US" w:eastAsia="zh-CN"/>
        </w:rPr>
        <w:t>j@</w:t>
      </w:r>
      <w:r>
        <w:rPr>
          <w:rFonts w:hint="eastAsia" w:ascii="仿宋" w:hAnsi="仿宋" w:eastAsia="仿宋" w:cs="仿宋"/>
          <w:sz w:val="30"/>
          <w:szCs w:val="30"/>
          <w:lang w:val="en" w:eastAsia="zh-CN"/>
        </w:rPr>
        <w:t>zz</w:t>
      </w:r>
      <w:r>
        <w:rPr>
          <w:rFonts w:hint="eastAsia" w:ascii="仿宋" w:hAnsi="仿宋" w:eastAsia="仿宋" w:cs="仿宋"/>
          <w:sz w:val="30"/>
          <w:szCs w:val="30"/>
          <w:lang w:val="en-US" w:eastAsia="zh-CN"/>
        </w:rPr>
        <w:t>.shandong.cn）。</w:t>
      </w:r>
      <w:r>
        <w:rPr>
          <w:rFonts w:hint="eastAsia" w:ascii="仿宋" w:hAnsi="仿宋" w:eastAsia="仿宋" w:cs="仿宋"/>
          <w:sz w:val="30"/>
          <w:szCs w:val="30"/>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（六）枣庄市生态环境局台儿庄分局202</w:t>
      </w:r>
      <w:r>
        <w:rPr>
          <w:rFonts w:hint="eastAsia" w:ascii="仿宋" w:hAnsi="仿宋" w:eastAsia="仿宋" w:cs="仿宋"/>
          <w:sz w:val="30"/>
          <w:szCs w:val="30"/>
          <w:lang w:val="en" w:eastAsia="zh-CN"/>
        </w:rPr>
        <w:t>3年</w:t>
      </w:r>
      <w:r>
        <w:rPr>
          <w:rFonts w:hint="eastAsia" w:ascii="仿宋" w:hAnsi="仿宋" w:eastAsia="仿宋" w:cs="仿宋"/>
          <w:sz w:val="30"/>
          <w:szCs w:val="30"/>
          <w:lang w:val="en-US" w:eastAsia="zh-CN"/>
        </w:rPr>
        <w:t>度没有其他需要报告的事项。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（七）枣庄市生态环境局台儿庄分局本年度没有其他有关文件专门要求通过政府信息公开工作年度报告予以报告的事项。</w:t>
      </w:r>
    </w:p>
    <w:p>
      <w:pPr>
        <w:pStyle w:val="2"/>
        <w:ind w:left="0" w:leftChars="0" w:firstLine="0" w:firstLineChars="0"/>
        <w:rPr>
          <w:rFonts w:hint="eastAsia" w:ascii="仿宋" w:hAnsi="仿宋" w:eastAsia="仿宋" w:cs="仿宋"/>
          <w:sz w:val="30"/>
          <w:szCs w:val="30"/>
          <w:lang w:val="en-US" w:eastAsia="zh-CN"/>
        </w:rPr>
      </w:pPr>
    </w:p>
    <w:p>
      <w:pPr>
        <w:adjustRightInd w:val="0"/>
        <w:snapToGrid w:val="0"/>
        <w:spacing w:line="560" w:lineRule="exact"/>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枣庄市生态环境局台儿庄分局</w:t>
      </w:r>
    </w:p>
    <w:p>
      <w:pPr>
        <w:adjustRightInd w:val="0"/>
        <w:snapToGrid w:val="0"/>
        <w:spacing w:line="560" w:lineRule="exact"/>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202</w:t>
      </w:r>
      <w:r>
        <w:rPr>
          <w:rFonts w:hint="eastAsia" w:ascii="仿宋" w:hAnsi="仿宋" w:eastAsia="仿宋" w:cs="仿宋"/>
          <w:sz w:val="30"/>
          <w:szCs w:val="30"/>
          <w:lang w:val="en" w:eastAsia="zh-CN"/>
        </w:rPr>
        <w:t>4</w:t>
      </w:r>
      <w:r>
        <w:rPr>
          <w:rFonts w:hint="eastAsia" w:ascii="仿宋" w:hAnsi="仿宋" w:eastAsia="仿宋" w:cs="仿宋"/>
          <w:sz w:val="30"/>
          <w:szCs w:val="30"/>
          <w:lang w:val="en-US" w:eastAsia="zh-CN"/>
        </w:rPr>
        <w:t>年1月</w:t>
      </w:r>
      <w:r>
        <w:rPr>
          <w:rFonts w:hint="eastAsia" w:ascii="仿宋" w:hAnsi="仿宋" w:eastAsia="仿宋" w:cs="仿宋"/>
          <w:sz w:val="30"/>
          <w:szCs w:val="30"/>
          <w:lang w:val="en" w:eastAsia="zh-CN"/>
        </w:rPr>
        <w:t>8</w:t>
      </w:r>
      <w:r>
        <w:rPr>
          <w:rFonts w:hint="eastAsia" w:ascii="仿宋" w:hAnsi="仿宋" w:eastAsia="仿宋" w:cs="仿宋"/>
          <w:sz w:val="30"/>
          <w:szCs w:val="30"/>
          <w:lang w:val="en-US" w:eastAsia="zh-CN"/>
        </w:rPr>
        <w:t>日</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script"/>
    <w:pitch w:val="default"/>
    <w:sig w:usb0="800002BF" w:usb1="184F6CF8"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GViNTM4MjViYjJlMWFjMDExYTk1YjViZTU2ZDUifQ=="/>
  </w:docVars>
  <w:rsids>
    <w:rsidRoot w:val="53680F07"/>
    <w:rsid w:val="007E48EA"/>
    <w:rsid w:val="01545A05"/>
    <w:rsid w:val="026E515B"/>
    <w:rsid w:val="051D5AAE"/>
    <w:rsid w:val="0CC56899"/>
    <w:rsid w:val="0DEF0563"/>
    <w:rsid w:val="11BD32B2"/>
    <w:rsid w:val="14712AE5"/>
    <w:rsid w:val="18845447"/>
    <w:rsid w:val="211C745F"/>
    <w:rsid w:val="219A6470"/>
    <w:rsid w:val="24F86703"/>
    <w:rsid w:val="2D3B5B48"/>
    <w:rsid w:val="2E1F0468"/>
    <w:rsid w:val="2FFB336C"/>
    <w:rsid w:val="345661B1"/>
    <w:rsid w:val="3469349B"/>
    <w:rsid w:val="39AA6819"/>
    <w:rsid w:val="39C85291"/>
    <w:rsid w:val="42380450"/>
    <w:rsid w:val="42641245"/>
    <w:rsid w:val="44890BCC"/>
    <w:rsid w:val="46024FFD"/>
    <w:rsid w:val="4B8102AE"/>
    <w:rsid w:val="4E8E75C7"/>
    <w:rsid w:val="51C4585C"/>
    <w:rsid w:val="523B08D0"/>
    <w:rsid w:val="53680F07"/>
    <w:rsid w:val="578E4184"/>
    <w:rsid w:val="5AE843BC"/>
    <w:rsid w:val="5B8D20FF"/>
    <w:rsid w:val="5E4C629C"/>
    <w:rsid w:val="5FDB6E58"/>
    <w:rsid w:val="619F44CD"/>
    <w:rsid w:val="636724EC"/>
    <w:rsid w:val="67CB22D6"/>
    <w:rsid w:val="68382289"/>
    <w:rsid w:val="6F1E6154"/>
    <w:rsid w:val="6F9852D8"/>
    <w:rsid w:val="73702CF6"/>
    <w:rsid w:val="7372293D"/>
    <w:rsid w:val="73AF1D68"/>
    <w:rsid w:val="795F169C"/>
    <w:rsid w:val="7B4E6013"/>
    <w:rsid w:val="7C174657"/>
    <w:rsid w:val="7C501548"/>
    <w:rsid w:val="FF6FB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3480</Words>
  <Characters>3685</Characters>
  <Lines>0</Lines>
  <Paragraphs>0</Paragraphs>
  <TotalTime>76</TotalTime>
  <ScaleCrop>false</ScaleCrop>
  <LinksUpToDate>false</LinksUpToDate>
  <CharactersWithSpaces>3852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2023-01-12T17:40:00Z</dcterms:created>
  <dc:creator>Monster.</dc:creator>
  <cp:lastModifiedBy>Administrator</cp:lastModifiedBy>
  <cp:lastPrinted>2023-01-13T11:09:00Z</cp:lastPrinted>
  <dcterms:modified xsi:type="dcterms:W3CDTF">2024-02-21T07:30:15Z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A1A1C71C94904E84BEE62783456839D0_13</vt:lpwstr>
  </property>
</Properties>
</file>