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560" w:lineRule="exact"/>
        <w:jc w:val="center"/>
        <w:rPr>
          <w:rFonts w:hint="eastAsia" w:ascii="方正小标宋简体" w:hAnsi="新宋体" w:eastAsia="方正小标宋简体" w:cs="新宋体"/>
          <w:bCs/>
          <w:color w:val="333333"/>
          <w:sz w:val="44"/>
          <w:szCs w:val="44"/>
          <w:shd w:val="clear" w:color="auto" w:fill="FFFFFF"/>
        </w:rPr>
      </w:pPr>
      <w:r>
        <w:rPr>
          <w:rFonts w:hint="eastAsia" w:ascii="方正小标宋简体" w:hAnsi="新宋体" w:eastAsia="方正小标宋简体" w:cs="新宋体"/>
          <w:bCs/>
          <w:color w:val="333333"/>
          <w:sz w:val="44"/>
          <w:szCs w:val="44"/>
          <w:shd w:val="clear" w:color="auto" w:fill="FFFFFF"/>
        </w:rPr>
        <w:t>枣庄市台儿庄区综合行政执法局</w:t>
      </w:r>
    </w:p>
    <w:p>
      <w:pPr>
        <w:pStyle w:val="3"/>
        <w:widowControl/>
        <w:spacing w:beforeAutospacing="0" w:afterAutospacing="0" w:line="560" w:lineRule="exact"/>
        <w:jc w:val="center"/>
        <w:rPr>
          <w:rFonts w:hint="eastAsia" w:ascii="方正小标宋简体" w:hAnsi="新宋体" w:eastAsia="方正小标宋简体" w:cs="新宋体"/>
          <w:color w:val="000000"/>
          <w:sz w:val="44"/>
          <w:szCs w:val="44"/>
          <w:shd w:val="clear" w:color="auto" w:fill="FFFFFF"/>
        </w:rPr>
      </w:pPr>
      <w:r>
        <w:rPr>
          <w:rFonts w:hint="eastAsia" w:ascii="方正小标宋简体" w:hAnsi="新宋体" w:eastAsia="方正小标宋简体" w:cs="新宋体"/>
          <w:bCs/>
          <w:color w:val="333333"/>
          <w:sz w:val="44"/>
          <w:szCs w:val="44"/>
          <w:shd w:val="clear" w:color="auto" w:fill="FFFFFF"/>
        </w:rPr>
        <w:t>2023年政府信息公开工作</w:t>
      </w:r>
      <w:r>
        <w:rPr>
          <w:rFonts w:hint="eastAsia" w:ascii="方正小标宋简体" w:hAnsi="新宋体" w:eastAsia="方正小标宋简体" w:cs="新宋体"/>
          <w:bCs/>
          <w:color w:val="333333"/>
          <w:sz w:val="44"/>
          <w:szCs w:val="44"/>
          <w:shd w:val="clear" w:color="auto" w:fill="FFFFFF"/>
          <w:lang w:val="en-US" w:eastAsia="zh-CN"/>
        </w:rPr>
        <w:t>年度</w:t>
      </w:r>
      <w:r>
        <w:rPr>
          <w:rFonts w:hint="eastAsia" w:ascii="方正小标宋简体" w:hAnsi="新宋体" w:eastAsia="方正小标宋简体" w:cs="新宋体"/>
          <w:bCs/>
          <w:color w:val="333333"/>
          <w:sz w:val="44"/>
          <w:szCs w:val="44"/>
          <w:shd w:val="clear" w:color="auto" w:fill="FFFFFF"/>
        </w:rPr>
        <w:t>报告</w:t>
      </w:r>
    </w:p>
    <w:p>
      <w:pPr>
        <w:pStyle w:val="3"/>
        <w:widowControl/>
        <w:spacing w:beforeAutospacing="0" w:afterAutospacing="0" w:line="560" w:lineRule="exact"/>
        <w:ind w:firstLine="640" w:firstLineChars="200"/>
        <w:jc w:val="both"/>
        <w:rPr>
          <w:rFonts w:ascii="仿宋_GB2312" w:eastAsia="仿宋_GB2312" w:cs="仿宋_GB2312"/>
          <w:color w:val="000000"/>
          <w:sz w:val="32"/>
          <w:szCs w:val="32"/>
          <w:shd w:val="clear" w:color="auto" w:fill="FFFFFF"/>
        </w:rPr>
      </w:pPr>
    </w:p>
    <w:p>
      <w:pPr>
        <w:pStyle w:val="3"/>
        <w:widowControl/>
        <w:wordWrap w:val="0"/>
        <w:spacing w:beforeAutospacing="0" w:afterAutospacing="0" w:line="560" w:lineRule="exact"/>
        <w:ind w:firstLine="640" w:firstLineChars="200"/>
        <w:jc w:val="both"/>
        <w:rPr>
          <w:rFonts w:ascii="仿宋_GB2312" w:hAnsi="宋体"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根据《中华人民共和国政府信息公开条例》的相关规定，现向社会公布枣庄市台儿庄区综合行政执法局2023年政府信息公开工作年度报告。本报告中所列数据的统计时限为2023年1月1日至2023年12月31日。本报告可通过台儿庄区政府门户网站（http://www.tez.gov.cn/）查阅或下载。</w:t>
      </w:r>
      <w:r>
        <w:rPr>
          <w:rFonts w:ascii="仿宋_GB2312" w:hAnsi="宋体" w:eastAsia="仿宋_GB2312" w:cs="仿宋_GB2312"/>
          <w:color w:val="000000"/>
          <w:sz w:val="32"/>
          <w:szCs w:val="32"/>
          <w:shd w:val="clear" w:color="auto" w:fill="FFFFFF"/>
        </w:rPr>
        <w:t>如对本报告有疑问，请与</w:t>
      </w:r>
      <w:r>
        <w:rPr>
          <w:rFonts w:hint="eastAsia" w:ascii="仿宋_GB2312" w:eastAsia="仿宋_GB2312" w:cs="仿宋_GB2312"/>
          <w:color w:val="000000"/>
          <w:sz w:val="32"/>
          <w:szCs w:val="32"/>
          <w:shd w:val="clear" w:color="auto" w:fill="FFFFFF"/>
        </w:rPr>
        <w:t>枣庄市</w:t>
      </w:r>
      <w:r>
        <w:rPr>
          <w:rFonts w:ascii="仿宋_GB2312" w:hAnsi="宋体" w:eastAsia="仿宋_GB2312" w:cs="仿宋_GB2312"/>
          <w:color w:val="000000"/>
          <w:sz w:val="32"/>
          <w:szCs w:val="32"/>
          <w:shd w:val="clear" w:color="auto" w:fill="FFFFFF"/>
        </w:rPr>
        <w:t>台儿庄区</w:t>
      </w:r>
      <w:r>
        <w:rPr>
          <w:rFonts w:hint="eastAsia" w:ascii="仿宋_GB2312" w:hAnsi="宋体" w:eastAsia="仿宋_GB2312" w:cs="仿宋_GB2312"/>
          <w:color w:val="000000"/>
          <w:sz w:val="32"/>
          <w:szCs w:val="32"/>
          <w:shd w:val="clear" w:color="auto" w:fill="FFFFFF"/>
        </w:rPr>
        <w:t>综合行政执法局</w:t>
      </w:r>
      <w:r>
        <w:rPr>
          <w:rFonts w:ascii="仿宋_GB2312" w:hAnsi="宋体" w:eastAsia="仿宋_GB2312" w:cs="仿宋_GB2312"/>
          <w:color w:val="000000"/>
          <w:sz w:val="32"/>
          <w:szCs w:val="32"/>
          <w:shd w:val="clear" w:color="auto" w:fill="FFFFFF"/>
        </w:rPr>
        <w:t>联系</w:t>
      </w:r>
      <w:r>
        <w:rPr>
          <w:rFonts w:hint="eastAsia" w:ascii="仿宋_GB2312" w:hAnsi="宋体" w:eastAsia="仿宋_GB2312" w:cs="仿宋_GB2312"/>
          <w:color w:val="000000"/>
          <w:sz w:val="32"/>
          <w:szCs w:val="32"/>
          <w:shd w:val="clear" w:color="auto" w:fill="FFFFFF"/>
        </w:rPr>
        <w:t>(地址:枣庄市台儿庄区长安路中段；电话：0632—5399612；邮箱：tezqcgj@zz.shandong.cn )。</w:t>
      </w:r>
    </w:p>
    <w:p>
      <w:pPr>
        <w:pStyle w:val="3"/>
        <w:widowControl/>
        <w:shd w:val="clear" w:color="auto" w:fill="FFFFFF"/>
        <w:spacing w:beforeAutospacing="0" w:afterAutospacing="0" w:line="560" w:lineRule="exact"/>
        <w:ind w:firstLine="516"/>
        <w:jc w:val="both"/>
        <w:rPr>
          <w:rFonts w:ascii="微软雅黑" w:hAnsi="微软雅黑" w:eastAsia="微软雅黑" w:cs="微软雅黑"/>
          <w:color w:val="333333"/>
          <w:sz w:val="32"/>
          <w:szCs w:val="32"/>
        </w:rPr>
      </w:pPr>
      <w:r>
        <w:rPr>
          <w:rFonts w:ascii="黑体" w:hAnsi="宋体" w:eastAsia="黑体" w:cs="黑体"/>
          <w:color w:val="333333"/>
          <w:sz w:val="32"/>
          <w:szCs w:val="32"/>
          <w:shd w:val="clear" w:color="auto" w:fill="FFFFFF"/>
        </w:rPr>
        <w:t>一、总体情况</w:t>
      </w:r>
    </w:p>
    <w:p>
      <w:pPr>
        <w:pStyle w:val="3"/>
        <w:widowControl/>
        <w:spacing w:beforeAutospacing="0" w:afterAutospacing="0" w:line="560" w:lineRule="exact"/>
        <w:ind w:firstLine="640" w:firstLineChars="200"/>
        <w:jc w:val="both"/>
        <w:rPr>
          <w:rFonts w:ascii="仿宋_GB2312" w:eastAsia="仿宋_GB2312" w:cs="仿宋_GB2312"/>
          <w:color w:val="000000"/>
          <w:sz w:val="32"/>
          <w:szCs w:val="32"/>
          <w:shd w:val="clear" w:color="auto" w:fill="FFFFFF"/>
        </w:rPr>
      </w:pPr>
      <w:r>
        <w:rPr>
          <w:rFonts w:hint="eastAsia" w:ascii="仿宋_GB2312" w:eastAsia="仿宋_GB2312" w:cs="仿宋_GB2312"/>
          <w:color w:val="000000"/>
          <w:sz w:val="32"/>
          <w:szCs w:val="32"/>
          <w:shd w:val="clear" w:color="auto" w:fill="FFFFFF"/>
        </w:rPr>
        <w:t>2023年，台儿庄区综合行政执法局政府信息公开工作坚持以习近平新时代中国特色社会主义思想为指导，全面贯彻党的二十大精神，深入贯彻落实《中华人民共和国政府信息公开条例》和相关文件部署，结合本机关实际，深化政府信息公开和政务公开各项工作。</w:t>
      </w:r>
    </w:p>
    <w:p>
      <w:pPr>
        <w:pStyle w:val="3"/>
        <w:widowControl/>
        <w:shd w:val="clear" w:color="auto" w:fill="FFFFFF"/>
        <w:spacing w:beforeAutospacing="0" w:afterAutospacing="0" w:line="560" w:lineRule="exact"/>
        <w:ind w:firstLine="516"/>
        <w:rPr>
          <w:rFonts w:ascii="仿宋_GB2312" w:eastAsia="仿宋_GB2312" w:cs="仿宋_GB2312"/>
          <w:color w:val="000000"/>
          <w:sz w:val="32"/>
          <w:szCs w:val="32"/>
          <w:shd w:val="clear" w:color="auto" w:fill="FFFFFF"/>
        </w:rPr>
      </w:pPr>
      <w:r>
        <w:rPr>
          <w:rFonts w:ascii="楷体" w:hAnsi="楷体" w:eastAsia="楷体" w:cs="楷体"/>
          <w:color w:val="333333"/>
          <w:sz w:val="32"/>
          <w:szCs w:val="32"/>
          <w:shd w:val="clear" w:color="auto" w:fill="FFFFFF"/>
        </w:rPr>
        <w:t>（一）主动公开</w:t>
      </w:r>
      <w:r>
        <w:rPr>
          <w:rFonts w:hint="eastAsia" w:ascii="楷体" w:hAnsi="楷体" w:eastAsia="楷体" w:cs="楷体"/>
          <w:color w:val="333333"/>
          <w:sz w:val="32"/>
          <w:szCs w:val="32"/>
          <w:shd w:val="clear" w:color="auto" w:fill="FFFFFF"/>
        </w:rPr>
        <w:t>方面</w:t>
      </w:r>
      <w:r>
        <w:rPr>
          <w:rFonts w:hint="eastAsia" w:ascii="仿宋" w:hAnsi="仿宋" w:eastAsia="仿宋" w:cs="仿宋"/>
          <w:color w:val="333333"/>
          <w:sz w:val="32"/>
          <w:szCs w:val="32"/>
          <w:shd w:val="clear" w:color="auto" w:fill="FFFFFF"/>
        </w:rPr>
        <w:t>。</w:t>
      </w:r>
      <w:r>
        <w:rPr>
          <w:rFonts w:hint="eastAsia" w:ascii="仿宋_GB2312" w:eastAsia="仿宋_GB2312" w:cs="仿宋_GB2312"/>
          <w:color w:val="000000"/>
          <w:sz w:val="32"/>
          <w:szCs w:val="32"/>
          <w:shd w:val="clear" w:color="auto" w:fill="FFFFFF"/>
        </w:rPr>
        <w:t>围绕中心工作，严格落实法定主动公开要求。2023年，在政务公开平台主动公开政府信息50余条，主要包括人大建议和政协提案、行政执法公示、“双随机、一公开”抽查事项等内容。</w:t>
      </w:r>
    </w:p>
    <w:p>
      <w:pPr>
        <w:pStyle w:val="3"/>
        <w:widowControl/>
        <w:shd w:val="clear" w:color="auto" w:fill="FFFFFF"/>
        <w:spacing w:beforeAutospacing="0" w:afterAutospacing="0" w:line="560" w:lineRule="exact"/>
        <w:ind w:firstLine="516"/>
        <w:rPr>
          <w:rFonts w:ascii="微软雅黑" w:hAnsi="微软雅黑" w:eastAsia="微软雅黑" w:cs="微软雅黑"/>
          <w:color w:val="333333"/>
          <w:sz w:val="32"/>
          <w:szCs w:val="32"/>
        </w:rPr>
      </w:pPr>
      <w:r>
        <w:rPr>
          <w:rFonts w:hint="eastAsia" w:ascii="楷体" w:hAnsi="楷体" w:eastAsia="楷体" w:cs="楷体"/>
          <w:color w:val="333333"/>
          <w:sz w:val="32"/>
          <w:szCs w:val="32"/>
          <w:shd w:val="clear" w:color="auto" w:fill="FFFFFF"/>
        </w:rPr>
        <w:t>（二）依申请公开方面</w:t>
      </w:r>
      <w:r>
        <w:rPr>
          <w:rFonts w:hint="eastAsia" w:ascii="仿宋" w:hAnsi="仿宋" w:eastAsia="仿宋" w:cs="仿宋"/>
          <w:color w:val="333333"/>
          <w:sz w:val="32"/>
          <w:szCs w:val="32"/>
          <w:shd w:val="clear" w:color="auto" w:fill="FFFFFF"/>
        </w:rPr>
        <w:t>。</w:t>
      </w:r>
      <w:r>
        <w:rPr>
          <w:rFonts w:hint="eastAsia" w:ascii="仿宋_GB2312" w:eastAsia="仿宋_GB2312" w:cs="仿宋_GB2312"/>
          <w:color w:val="000000"/>
          <w:sz w:val="32"/>
          <w:szCs w:val="32"/>
          <w:shd w:val="clear" w:color="auto" w:fill="FFFFFF"/>
        </w:rPr>
        <w:t>严格落实相关制度规定，遵循公正、公平、便民的原则，做到应公开尽公开，满足群众个性化合理信息需求。全年共办理政府信息公开申请0件。</w:t>
      </w:r>
    </w:p>
    <w:p>
      <w:pPr>
        <w:pStyle w:val="3"/>
        <w:widowControl/>
        <w:shd w:val="clear" w:color="auto" w:fill="FFFFFF"/>
        <w:spacing w:beforeAutospacing="0" w:afterAutospacing="0" w:line="560" w:lineRule="exact"/>
        <w:ind w:firstLine="516"/>
        <w:rPr>
          <w:rFonts w:ascii="仿宋_GB2312" w:eastAsia="仿宋_GB2312" w:cs="仿宋_GB2312"/>
          <w:color w:val="000000"/>
          <w:sz w:val="32"/>
          <w:szCs w:val="32"/>
          <w:shd w:val="clear" w:color="auto" w:fill="FFFFFF"/>
        </w:rPr>
      </w:pPr>
      <w:r>
        <w:rPr>
          <w:rFonts w:hint="eastAsia" w:ascii="楷体" w:hAnsi="楷体" w:eastAsia="楷体" w:cs="楷体"/>
          <w:color w:val="333333"/>
          <w:sz w:val="32"/>
          <w:szCs w:val="32"/>
          <w:shd w:val="clear" w:color="auto" w:fill="FFFFFF"/>
        </w:rPr>
        <w:t>（三）政府信息管理方面</w:t>
      </w:r>
      <w:r>
        <w:rPr>
          <w:rFonts w:hint="eastAsia" w:ascii="仿宋" w:hAnsi="仿宋" w:eastAsia="仿宋" w:cs="仿宋"/>
          <w:color w:val="333333"/>
          <w:sz w:val="32"/>
          <w:szCs w:val="32"/>
          <w:shd w:val="clear" w:color="auto" w:fill="FFFFFF"/>
        </w:rPr>
        <w:t>。</w:t>
      </w:r>
      <w:r>
        <w:rPr>
          <w:rFonts w:hint="eastAsia" w:ascii="仿宋_GB2312" w:eastAsia="仿宋_GB2312" w:cs="仿宋_GB2312"/>
          <w:color w:val="000000"/>
          <w:sz w:val="32"/>
          <w:szCs w:val="32"/>
          <w:shd w:val="clear" w:color="auto" w:fill="FFFFFF"/>
        </w:rPr>
        <w:t>明确主动公开、依申请公开和不公开的范围，规范内容，严格公开。按照依法公开、求真务实、重点突出、便于监督的要求，努力规范和完善政务公开内容。严格审核发布的政府信息公开内容，严谨有序推进信息公开工作，确保信息公开质量。</w:t>
      </w:r>
    </w:p>
    <w:p>
      <w:pPr>
        <w:spacing w:line="560" w:lineRule="exact"/>
        <w:ind w:firstLine="640" w:firstLineChars="200"/>
        <w:rPr>
          <w:rFonts w:hint="eastAsia" w:ascii="仿宋_GB2312" w:eastAsia="仿宋_GB2312" w:cs="仿宋_GB2312" w:hAnsiTheme="minorHAnsi"/>
          <w:color w:val="000000"/>
          <w:kern w:val="0"/>
          <w:sz w:val="32"/>
          <w:szCs w:val="32"/>
          <w:shd w:val="clear" w:color="auto" w:fill="FFFFFF"/>
          <w:lang w:val="en-US" w:eastAsia="zh-CN" w:bidi="ar-SA"/>
        </w:rPr>
      </w:pPr>
      <w:r>
        <w:rPr>
          <w:rFonts w:hint="eastAsia" w:ascii="楷体" w:hAnsi="楷体" w:eastAsia="楷体" w:cs="楷体"/>
          <w:color w:val="333333"/>
          <w:kern w:val="0"/>
          <w:sz w:val="32"/>
          <w:szCs w:val="32"/>
          <w:shd w:val="clear" w:color="auto" w:fill="FFFFFF"/>
          <w:lang w:val="en-US" w:eastAsia="zh-CN" w:bidi="ar-SA"/>
        </w:rPr>
        <w:t>（四）平台建设方面。</w:t>
      </w:r>
      <w:r>
        <w:rPr>
          <w:rFonts w:hint="eastAsia" w:ascii="仿宋_GB2312" w:eastAsia="仿宋_GB2312" w:cs="仿宋_GB2312"/>
          <w:i w:val="0"/>
          <w:iCs w:val="0"/>
          <w:caps w:val="0"/>
          <w:color w:val="000000"/>
          <w:spacing w:val="0"/>
          <w:sz w:val="32"/>
          <w:szCs w:val="32"/>
          <w:shd w:val="clear" w:fill="FFFFFF"/>
        </w:rPr>
        <w:t>依托政府网站集约化平台统一规范</w:t>
      </w:r>
      <w:r>
        <w:rPr>
          <w:rFonts w:hint="eastAsia" w:ascii="仿宋_GB2312" w:eastAsia="仿宋_GB2312" w:cs="仿宋_GB2312"/>
          <w:i w:val="0"/>
          <w:iCs w:val="0"/>
          <w:caps w:val="0"/>
          <w:color w:val="000000"/>
          <w:spacing w:val="0"/>
          <w:sz w:val="32"/>
          <w:szCs w:val="32"/>
          <w:shd w:val="clear" w:fill="FFFFFF"/>
          <w:lang w:val="en-US" w:eastAsia="zh-CN"/>
        </w:rPr>
        <w:t>发布信息</w:t>
      </w:r>
      <w:r>
        <w:rPr>
          <w:rFonts w:hint="eastAsia" w:ascii="仿宋_GB2312" w:eastAsia="仿宋_GB2312" w:cs="仿宋_GB2312"/>
          <w:i w:val="0"/>
          <w:iCs w:val="0"/>
          <w:caps w:val="0"/>
          <w:color w:val="000000"/>
          <w:spacing w:val="0"/>
          <w:sz w:val="32"/>
          <w:szCs w:val="32"/>
          <w:shd w:val="clear" w:fill="FFFFFF"/>
          <w:lang w:eastAsia="zh-CN"/>
        </w:rPr>
        <w:t>。</w:t>
      </w:r>
      <w:r>
        <w:rPr>
          <w:rFonts w:hint="eastAsia" w:ascii="仿宋_GB2312" w:eastAsia="仿宋_GB2312" w:cs="仿宋_GB2312" w:hAnsiTheme="minorHAnsi"/>
          <w:color w:val="000000"/>
          <w:kern w:val="0"/>
          <w:sz w:val="32"/>
          <w:szCs w:val="32"/>
          <w:shd w:val="clear" w:color="auto" w:fill="FFFFFF"/>
          <w:lang w:val="en-US" w:eastAsia="zh-CN" w:bidi="ar-SA"/>
        </w:rPr>
        <w:t>继续推进政务新媒体管理，通过“台儿庄区综合行政执法局”微信公众号实时发布各类信息，强化平台栏目系统化、品牌化建设。</w:t>
      </w:r>
    </w:p>
    <w:p>
      <w:pPr>
        <w:spacing w:line="560" w:lineRule="exact"/>
        <w:ind w:firstLine="640" w:firstLineChars="200"/>
        <w:rPr>
          <w:rFonts w:hint="eastAsia" w:ascii="仿宋_GB2312" w:eastAsia="仿宋_GB2312" w:cs="仿宋_GB2312" w:hAnsiTheme="minorHAnsi"/>
          <w:color w:val="000000"/>
          <w:kern w:val="0"/>
          <w:sz w:val="32"/>
          <w:szCs w:val="32"/>
          <w:shd w:val="clear" w:color="auto" w:fill="FFFFFF"/>
          <w:lang w:val="en-US" w:eastAsia="zh-CN" w:bidi="ar-SA"/>
        </w:rPr>
      </w:pPr>
      <w:r>
        <w:rPr>
          <w:rFonts w:hint="eastAsia" w:ascii="楷体" w:hAnsi="楷体" w:eastAsia="楷体" w:cs="楷体"/>
          <w:color w:val="333333"/>
          <w:kern w:val="0"/>
          <w:sz w:val="32"/>
          <w:szCs w:val="32"/>
          <w:shd w:val="clear" w:color="auto" w:fill="FFFFFF"/>
          <w:lang w:val="en-US" w:eastAsia="zh-CN" w:bidi="ar-SA"/>
        </w:rPr>
        <w:t>（五）监督保障方面。</w:t>
      </w:r>
      <w:r>
        <w:rPr>
          <w:rFonts w:hint="eastAsia" w:ascii="仿宋_GB2312" w:eastAsia="仿宋_GB2312" w:cs="仿宋_GB2312" w:hAnsiTheme="minorHAnsi"/>
          <w:color w:val="000000"/>
          <w:kern w:val="0"/>
          <w:sz w:val="32"/>
          <w:szCs w:val="32"/>
          <w:shd w:val="clear" w:color="auto" w:fill="FFFFFF"/>
          <w:lang w:val="en-US" w:eastAsia="zh-CN" w:bidi="ar-SA"/>
        </w:rPr>
        <w:t>落实各科室政府信息公开责任，明确各科室政务公开内容及公开时限，确保各类信息及时公开。严格落实政务公开审核流程，确保公开的政府信息内容表述准确、公开时机得当，杜绝泄密等问题发生。</w:t>
      </w:r>
    </w:p>
    <w:p>
      <w:pPr>
        <w:pStyle w:val="3"/>
        <w:widowControl/>
        <w:spacing w:beforeAutospacing="0" w:afterAutospacing="0" w:line="560" w:lineRule="exact"/>
        <w:ind w:firstLine="640" w:firstLineChars="200"/>
        <w:jc w:val="both"/>
        <w:rPr>
          <w:rFonts w:ascii="黑体" w:hAnsi="宋体" w:eastAsia="黑体" w:cs="黑体"/>
          <w:color w:val="000000"/>
          <w:sz w:val="32"/>
          <w:szCs w:val="32"/>
        </w:rPr>
      </w:pPr>
      <w:r>
        <w:rPr>
          <w:rFonts w:hint="eastAsia" w:ascii="黑体" w:hAnsi="宋体" w:eastAsia="黑体" w:cs="黑体"/>
          <w:color w:val="000000"/>
          <w:sz w:val="32"/>
          <w:szCs w:val="32"/>
        </w:rPr>
        <w:t>二、主动公开政府信息情况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themeColor="text1"/>
                <w:kern w:val="0"/>
                <w:szCs w:val="21"/>
                <w14:textFill>
                  <w14:solidFill>
                    <w14:schemeClr w14:val="tx1"/>
                  </w14:solidFill>
                </w14:textFill>
              </w:rPr>
            </w:pPr>
            <w:r>
              <w:rPr>
                <w:rFonts w:ascii="仿宋_GB2312" w:hAnsi="Calibri" w:eastAsia="仿宋_GB2312" w:cs="Calibri"/>
                <w:color w:val="000000" w:themeColor="text1"/>
                <w:kern w:val="0"/>
                <w:szCs w:val="21"/>
                <w14:textFill>
                  <w14:solidFill>
                    <w14:schemeClr w14:val="tx1"/>
                  </w14:solidFill>
                </w14:textFill>
              </w:rPr>
              <w:t>1133</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Calibri" w:eastAsia="仿宋_GB2312" w:cs="Calibri"/>
                <w:color w:val="000000" w:themeColor="text1"/>
                <w:kern w:val="0"/>
                <w:szCs w:val="21"/>
                <w14:textFill>
                  <w14:solidFill>
                    <w14:schemeClr w14:val="tx1"/>
                  </w14:solidFill>
                </w14:textFill>
              </w:rPr>
              <w:t>0</w:t>
            </w:r>
          </w:p>
        </w:tc>
      </w:tr>
    </w:tbl>
    <w:p>
      <w:pPr>
        <w:pStyle w:val="3"/>
        <w:widowControl/>
        <w:spacing w:beforeAutospacing="0" w:afterAutospacing="0" w:line="520" w:lineRule="exact"/>
        <w:ind w:firstLine="640" w:firstLineChars="200"/>
        <w:jc w:val="both"/>
        <w:rPr>
          <w:rFonts w:ascii="黑体" w:hAnsi="宋体" w:eastAsia="黑体" w:cs="黑体"/>
          <w:color w:val="000000"/>
          <w:sz w:val="32"/>
          <w:szCs w:val="32"/>
        </w:rPr>
      </w:pPr>
      <w:r>
        <w:rPr>
          <w:rFonts w:hint="eastAsia" w:ascii="黑体" w:hAnsi="宋体" w:eastAsia="黑体" w:cs="黑体"/>
          <w:color w:val="000000"/>
          <w:sz w:val="32"/>
          <w:szCs w:val="32"/>
        </w:rPr>
        <w:t>三、收到和处理政府信息公开申请情况</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60" w:type="dxa"/>
          <w:left w:w="120" w:type="dxa"/>
          <w:bottom w:w="60" w:type="dxa"/>
          <w:right w:w="120" w:type="dxa"/>
        </w:tblCellMar>
      </w:tblPr>
      <w:tblGrid>
        <w:gridCol w:w="488"/>
        <w:gridCol w:w="1356"/>
        <w:gridCol w:w="2388"/>
        <w:gridCol w:w="660"/>
        <w:gridCol w:w="456"/>
        <w:gridCol w:w="456"/>
        <w:gridCol w:w="588"/>
        <w:gridCol w:w="564"/>
        <w:gridCol w:w="456"/>
        <w:gridCol w:w="68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36" w:hRule="atLeast"/>
          <w:jc w:val="center"/>
        </w:trPr>
        <w:tc>
          <w:tcPr>
            <w:tcW w:w="4080"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jc w:val="center"/>
            </w:pPr>
            <w:r>
              <w:rPr>
                <w:rFonts w:ascii="楷体_GB2312" w:hAnsi="sans-serif" w:eastAsia="楷体_GB2312" w:cs="楷体_GB2312"/>
                <w:color w:val="000000"/>
                <w:sz w:val="16"/>
                <w:szCs w:val="16"/>
              </w:rPr>
              <w:t>（本列数据的勾稽关系为：第一项加第二项之和，</w:t>
            </w:r>
          </w:p>
          <w:p>
            <w:pPr>
              <w:pStyle w:val="3"/>
              <w:widowControl/>
              <w:wordWrap w:val="0"/>
              <w:spacing w:beforeAutospacing="0" w:afterAutospacing="0" w:line="315" w:lineRule="atLeast"/>
              <w:jc w:val="center"/>
            </w:pPr>
            <w:r>
              <w:rPr>
                <w:rFonts w:ascii="楷体_GB2312" w:hAnsi="sans-serif" w:eastAsia="楷体_GB2312" w:cs="楷体_GB2312"/>
                <w:color w:val="000000"/>
                <w:sz w:val="16"/>
                <w:szCs w:val="16"/>
              </w:rPr>
              <w:t>等于第三项加第四项之和）</w:t>
            </w:r>
          </w:p>
        </w:tc>
        <w:tc>
          <w:tcPr>
            <w:tcW w:w="3852" w:type="dxa"/>
            <w:gridSpan w:val="7"/>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52" w:lineRule="atLeast"/>
              <w:jc w:val="center"/>
            </w:pPr>
            <w:r>
              <w:rPr>
                <w:rFonts w:hint="eastAsia" w:ascii="黑体" w:hAnsi="宋体" w:eastAsia="黑体" w:cs="黑体"/>
                <w:color w:val="000000"/>
                <w:sz w:val="16"/>
                <w:szCs w:val="16"/>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36" w:hRule="atLeast"/>
          <w:jc w:val="center"/>
        </w:trPr>
        <w:tc>
          <w:tcPr>
            <w:tcW w:w="4080"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66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jc w:val="center"/>
            </w:pPr>
            <w:r>
              <w:rPr>
                <w:rFonts w:hint="eastAsia" w:ascii="黑体" w:hAnsi="宋体" w:eastAsia="黑体" w:cs="黑体"/>
                <w:color w:val="000000"/>
                <w:sz w:val="16"/>
                <w:szCs w:val="16"/>
              </w:rPr>
              <w:t>自然人</w:t>
            </w:r>
          </w:p>
        </w:tc>
        <w:tc>
          <w:tcPr>
            <w:tcW w:w="2508"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52" w:lineRule="atLeast"/>
              <w:jc w:val="center"/>
            </w:pPr>
            <w:r>
              <w:rPr>
                <w:rFonts w:hint="eastAsia" w:ascii="黑体" w:hAnsi="宋体" w:eastAsia="黑体" w:cs="黑体"/>
                <w:color w:val="000000"/>
                <w:sz w:val="16"/>
                <w:szCs w:val="16"/>
              </w:rPr>
              <w:t>法人或其他组织</w:t>
            </w:r>
          </w:p>
        </w:tc>
        <w:tc>
          <w:tcPr>
            <w:tcW w:w="684"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jc w:val="center"/>
            </w:pPr>
            <w:r>
              <w:rPr>
                <w:rFonts w:hint="eastAsia" w:ascii="黑体" w:hAnsi="宋体" w:eastAsia="黑体" w:cs="黑体"/>
                <w:color w:val="000000"/>
                <w:sz w:val="16"/>
                <w:szCs w:val="16"/>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252" w:hRule="atLeast"/>
          <w:jc w:val="center"/>
        </w:trPr>
        <w:tc>
          <w:tcPr>
            <w:tcW w:w="4080"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660"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52" w:lineRule="atLeast"/>
              <w:ind w:left="-84" w:right="-84"/>
              <w:jc w:val="center"/>
            </w:pPr>
            <w:r>
              <w:rPr>
                <w:rFonts w:hint="eastAsia" w:ascii="黑体" w:hAnsi="宋体" w:eastAsia="黑体" w:cs="黑体"/>
                <w:color w:val="000000"/>
                <w:sz w:val="16"/>
                <w:szCs w:val="16"/>
              </w:rPr>
              <w:t>商业企业</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52" w:lineRule="atLeast"/>
              <w:ind w:left="-84" w:right="-84"/>
              <w:jc w:val="center"/>
            </w:pPr>
            <w:r>
              <w:rPr>
                <w:rFonts w:hint="eastAsia" w:ascii="黑体" w:hAnsi="宋体" w:eastAsia="黑体" w:cs="黑体"/>
                <w:color w:val="000000"/>
                <w:sz w:val="16"/>
                <w:szCs w:val="16"/>
              </w:rPr>
              <w:t>科研机构</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52" w:lineRule="atLeast"/>
              <w:ind w:left="-84" w:right="-84"/>
              <w:jc w:val="center"/>
            </w:pPr>
            <w:r>
              <w:rPr>
                <w:rFonts w:hint="eastAsia" w:ascii="黑体" w:hAnsi="宋体" w:eastAsia="黑体" w:cs="黑体"/>
                <w:color w:val="000000"/>
                <w:sz w:val="16"/>
                <w:szCs w:val="16"/>
              </w:rPr>
              <w:t>社会公益组织</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52" w:lineRule="atLeast"/>
              <w:ind w:left="-84" w:right="-84"/>
              <w:jc w:val="center"/>
            </w:pPr>
            <w:r>
              <w:rPr>
                <w:rFonts w:hint="eastAsia" w:ascii="黑体" w:hAnsi="宋体" w:eastAsia="黑体" w:cs="黑体"/>
                <w:color w:val="000000"/>
                <w:sz w:val="16"/>
                <w:szCs w:val="16"/>
              </w:rPr>
              <w:t>法律服务机构</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88" w:lineRule="atLeast"/>
              <w:ind w:left="-48" w:right="-108"/>
              <w:jc w:val="center"/>
            </w:pPr>
            <w:r>
              <w:rPr>
                <w:rFonts w:hint="eastAsia" w:ascii="黑体" w:hAnsi="宋体" w:eastAsia="黑体" w:cs="黑体"/>
                <w:color w:val="000000"/>
                <w:sz w:val="16"/>
                <w:szCs w:val="16"/>
              </w:rPr>
              <w:t>其他</w:t>
            </w:r>
          </w:p>
        </w:tc>
        <w:tc>
          <w:tcPr>
            <w:tcW w:w="684"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12" w:hRule="atLeast"/>
          <w:jc w:val="center"/>
        </w:trPr>
        <w:tc>
          <w:tcPr>
            <w:tcW w:w="4080"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pPr>
            <w:r>
              <w:rPr>
                <w:rFonts w:hint="eastAsia" w:ascii="黑体" w:hAnsi="宋体" w:eastAsia="黑体" w:cs="黑体"/>
                <w:color w:val="000000"/>
                <w:sz w:val="16"/>
                <w:szCs w:val="16"/>
              </w:rPr>
              <w:t>一、</w:t>
            </w:r>
            <w:bookmarkStart w:id="0" w:name="_Hlk66973412"/>
            <w:r>
              <w:rPr>
                <w:rFonts w:hint="eastAsia" w:ascii="黑体" w:hAnsi="宋体" w:eastAsia="黑体" w:cs="黑体"/>
                <w:color w:val="000000"/>
                <w:sz w:val="16"/>
                <w:szCs w:val="16"/>
              </w:rPr>
              <w:t>本年新收政府信息公开申请数量</w:t>
            </w:r>
            <w:bookmarkEnd w:id="0"/>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12" w:hRule="atLeast"/>
          <w:jc w:val="center"/>
        </w:trPr>
        <w:tc>
          <w:tcPr>
            <w:tcW w:w="4080"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pPr>
            <w:r>
              <w:rPr>
                <w:rFonts w:hint="eastAsia" w:ascii="黑体" w:hAnsi="宋体" w:eastAsia="黑体" w:cs="黑体"/>
                <w:color w:val="000000"/>
                <w:sz w:val="16"/>
                <w:szCs w:val="16"/>
              </w:rPr>
              <w:t>二、上年结转政府信息公开申请数量</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33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pPr>
            <w:r>
              <w:rPr>
                <w:rFonts w:hint="eastAsia" w:ascii="黑体" w:hAnsi="宋体" w:eastAsia="黑体" w:cs="黑体"/>
                <w:color w:val="000000"/>
                <w:sz w:val="16"/>
                <w:szCs w:val="16"/>
              </w:rPr>
              <w:t>三、本年度办理结果</w:t>
            </w:r>
          </w:p>
        </w:tc>
        <w:tc>
          <w:tcPr>
            <w:tcW w:w="374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pPr>
            <w:r>
              <w:rPr>
                <w:rFonts w:hint="eastAsia" w:ascii="黑体" w:hAnsi="宋体" w:eastAsia="黑体" w:cs="黑体"/>
                <w:color w:val="000000"/>
                <w:sz w:val="16"/>
                <w:szCs w:val="16"/>
              </w:rPr>
              <w:t>（一）予以公开</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374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pPr>
            <w:r>
              <w:rPr>
                <w:rFonts w:hint="eastAsia" w:ascii="黑体" w:hAnsi="宋体" w:eastAsia="黑体" w:cs="黑体"/>
                <w:color w:val="000000"/>
                <w:sz w:val="16"/>
                <w:szCs w:val="16"/>
              </w:rPr>
              <w:t>（二）部分公开（</w:t>
            </w:r>
            <w:bookmarkStart w:id="1" w:name="_Hlk66973981"/>
            <w:r>
              <w:rPr>
                <w:rFonts w:hint="eastAsia" w:ascii="黑体" w:hAnsi="宋体" w:eastAsia="黑体" w:cs="黑体"/>
                <w:color w:val="000000"/>
                <w:sz w:val="16"/>
                <w:szCs w:val="16"/>
              </w:rPr>
              <w:t>区分处理的，只计这一情形，不计其他情形</w:t>
            </w:r>
            <w:bookmarkEnd w:id="1"/>
            <w:r>
              <w:rPr>
                <w:rFonts w:hint="eastAsia" w:ascii="黑体" w:hAnsi="宋体" w:eastAsia="黑体" w:cs="黑体"/>
                <w:color w:val="000000"/>
                <w:sz w:val="16"/>
                <w:szCs w:val="16"/>
              </w:rPr>
              <w:t>）</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52" w:lineRule="atLeast"/>
              <w:ind w:left="-84"/>
            </w:pPr>
            <w:r>
              <w:rPr>
                <w:rFonts w:hint="eastAsia" w:ascii="黑体" w:hAnsi="宋体" w:eastAsia="黑体" w:cs="黑体"/>
                <w:color w:val="000000"/>
                <w:sz w:val="16"/>
                <w:szCs w:val="16"/>
              </w:rPr>
              <w:t>（三）不予公开</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1.属于国家秘密</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2.</w:t>
            </w:r>
            <w:bookmarkStart w:id="2" w:name="_Hlk66974104"/>
            <w:r>
              <w:rPr>
                <w:rFonts w:hint="eastAsia" w:ascii="仿宋_GB2312" w:hAnsi="sans-serif" w:eastAsia="仿宋_GB2312" w:cs="仿宋_GB2312"/>
                <w:color w:val="000000"/>
                <w:sz w:val="16"/>
                <w:szCs w:val="16"/>
              </w:rPr>
              <w:t>其他法律行政法规禁止公开</w:t>
            </w:r>
            <w:bookmarkEnd w:id="2"/>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3.危及“三安全一稳定”</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4.</w:t>
            </w:r>
            <w:bookmarkStart w:id="3" w:name="_Hlk66974290"/>
            <w:r>
              <w:rPr>
                <w:rFonts w:hint="eastAsia" w:ascii="仿宋_GB2312" w:hAnsi="sans-serif" w:eastAsia="仿宋_GB2312" w:cs="仿宋_GB2312"/>
                <w:color w:val="000000"/>
                <w:sz w:val="16"/>
                <w:szCs w:val="16"/>
              </w:rPr>
              <w:t>保护第三方合法权益</w:t>
            </w:r>
            <w:bookmarkEnd w:id="3"/>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5.属于三类内部事务信息</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6.</w:t>
            </w:r>
            <w:bookmarkStart w:id="4" w:name="_Hlk66974555"/>
            <w:r>
              <w:rPr>
                <w:rFonts w:hint="eastAsia" w:ascii="仿宋_GB2312" w:hAnsi="sans-serif" w:eastAsia="仿宋_GB2312" w:cs="仿宋_GB2312"/>
                <w:color w:val="000000"/>
                <w:sz w:val="16"/>
                <w:szCs w:val="16"/>
              </w:rPr>
              <w:t>属于四类过程性信息</w:t>
            </w:r>
            <w:bookmarkEnd w:id="4"/>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7.属于行政执法案卷</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8.</w:t>
            </w:r>
            <w:bookmarkStart w:id="5" w:name="_Hlk66975211"/>
            <w:r>
              <w:rPr>
                <w:rFonts w:hint="eastAsia" w:ascii="仿宋_GB2312" w:hAnsi="sans-serif" w:eastAsia="仿宋_GB2312" w:cs="仿宋_GB2312"/>
                <w:color w:val="000000"/>
                <w:sz w:val="16"/>
                <w:szCs w:val="16"/>
              </w:rPr>
              <w:t>属于行政查询事项</w:t>
            </w:r>
            <w:bookmarkEnd w:id="5"/>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52" w:lineRule="atLeast"/>
              <w:ind w:left="-84"/>
            </w:pPr>
            <w:r>
              <w:rPr>
                <w:rFonts w:hint="eastAsia" w:ascii="黑体" w:hAnsi="宋体" w:eastAsia="黑体" w:cs="黑体"/>
                <w:color w:val="000000"/>
                <w:sz w:val="16"/>
                <w:szCs w:val="16"/>
              </w:rPr>
              <w:t>（四）无法提供</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1.本机关不掌握相关政府信息</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2.</w:t>
            </w:r>
            <w:bookmarkStart w:id="6" w:name="_Hlk66975392"/>
            <w:r>
              <w:rPr>
                <w:rFonts w:hint="eastAsia" w:ascii="仿宋_GB2312" w:hAnsi="sans-serif" w:eastAsia="仿宋_GB2312" w:cs="仿宋_GB2312"/>
                <w:color w:val="000000"/>
                <w:sz w:val="16"/>
                <w:szCs w:val="16"/>
              </w:rPr>
              <w:t>没有现成信息需要另行制作</w:t>
            </w:r>
            <w:bookmarkEnd w:id="6"/>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3.</w:t>
            </w:r>
            <w:bookmarkStart w:id="7" w:name="_Hlk66975466"/>
            <w:r>
              <w:rPr>
                <w:rFonts w:hint="eastAsia" w:ascii="仿宋_GB2312" w:hAnsi="sans-serif" w:eastAsia="仿宋_GB2312" w:cs="仿宋_GB2312"/>
                <w:color w:val="000000"/>
                <w:sz w:val="16"/>
                <w:szCs w:val="16"/>
              </w:rPr>
              <w:t>补正后申请内容仍不明确</w:t>
            </w:r>
            <w:bookmarkEnd w:id="7"/>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52" w:lineRule="atLeast"/>
              <w:ind w:left="-84"/>
            </w:pPr>
            <w:r>
              <w:rPr>
                <w:rFonts w:hint="eastAsia" w:ascii="黑体" w:hAnsi="宋体" w:eastAsia="黑体" w:cs="黑体"/>
                <w:color w:val="000000"/>
                <w:sz w:val="16"/>
                <w:szCs w:val="16"/>
              </w:rPr>
              <w:t>（五）不予处理</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1.</w:t>
            </w:r>
            <w:bookmarkStart w:id="8" w:name="_Hlk66975537"/>
            <w:r>
              <w:rPr>
                <w:rFonts w:hint="eastAsia" w:ascii="仿宋_GB2312" w:hAnsi="sans-serif" w:eastAsia="仿宋_GB2312" w:cs="仿宋_GB2312"/>
                <w:color w:val="000000"/>
                <w:sz w:val="16"/>
                <w:szCs w:val="16"/>
              </w:rPr>
              <w:t>信访举报投诉类申请</w:t>
            </w:r>
            <w:bookmarkEnd w:id="8"/>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2.重复申请</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60"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3.要求提供公开出版物</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12" w:hRule="atLeast"/>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156" w:lineRule="atLeast"/>
            </w:pPr>
            <w:r>
              <w:rPr>
                <w:rFonts w:hint="eastAsia" w:ascii="仿宋_GB2312" w:hAnsi="sans-serif" w:eastAsia="仿宋_GB2312" w:cs="仿宋_GB2312"/>
                <w:color w:val="000000"/>
                <w:sz w:val="16"/>
                <w:szCs w:val="16"/>
              </w:rPr>
              <w:t>4.无正当理由大量反复申请</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40" w:lineRule="atLeast"/>
            </w:pPr>
            <w:r>
              <w:rPr>
                <w:rFonts w:hint="eastAsia" w:ascii="仿宋_GB2312" w:hAnsi="sans-serif" w:eastAsia="仿宋_GB2312" w:cs="仿宋_GB2312"/>
                <w:color w:val="000000"/>
                <w:sz w:val="16"/>
                <w:szCs w:val="16"/>
              </w:rPr>
              <w:t>5.要求行政机关确认或重新</w:t>
            </w:r>
          </w:p>
          <w:p>
            <w:pPr>
              <w:pStyle w:val="3"/>
              <w:widowControl/>
              <w:wordWrap w:val="0"/>
              <w:spacing w:beforeAutospacing="0" w:afterAutospacing="0" w:line="240" w:lineRule="atLeast"/>
              <w:ind w:firstLine="168"/>
            </w:pPr>
            <w:r>
              <w:rPr>
                <w:rFonts w:hint="eastAsia" w:ascii="仿宋_GB2312" w:hAnsi="sans-serif" w:eastAsia="仿宋_GB2312" w:cs="仿宋_GB2312"/>
                <w:color w:val="000000"/>
                <w:sz w:val="16"/>
                <w:szCs w:val="16"/>
              </w:rPr>
              <w:t>出具已获取信息</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40" w:lineRule="atLeast"/>
            </w:pPr>
            <w:r>
              <w:rPr>
                <w:rFonts w:hint="eastAsia" w:ascii="黑体" w:hAnsi="宋体" w:eastAsia="黑体" w:cs="黑体"/>
                <w:color w:val="000000"/>
                <w:sz w:val="16"/>
                <w:szCs w:val="16"/>
              </w:rPr>
              <w:t>（六）其他处理</w:t>
            </w: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widowControl/>
              <w:wordWrap w:val="0"/>
              <w:spacing w:beforeAutospacing="0" w:afterAutospacing="0" w:line="240" w:lineRule="atLeast"/>
            </w:pPr>
            <w:r>
              <w:rPr>
                <w:rFonts w:hint="eastAsia" w:ascii="仿宋_GB2312" w:hAnsi="sans-serif" w:eastAsia="仿宋_GB2312" w:cs="仿宋_GB2312"/>
                <w:color w:val="000000"/>
                <w:sz w:val="16"/>
                <w:szCs w:val="16"/>
              </w:rPr>
              <w:t>1.申请人无正当理由逾期不补正、行政机关不再处理其政府信息公开申请</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widowControl/>
              <w:wordWrap w:val="0"/>
              <w:spacing w:beforeAutospacing="0" w:afterAutospacing="0" w:line="240" w:lineRule="atLeast"/>
            </w:pPr>
            <w:r>
              <w:rPr>
                <w:rFonts w:hint="eastAsia" w:ascii="仿宋_GB2312" w:hAnsi="sans-serif" w:eastAsia="仿宋_GB2312" w:cs="仿宋_GB2312"/>
                <w:color w:val="000000"/>
                <w:sz w:val="16"/>
                <w:szCs w:val="16"/>
              </w:rPr>
              <w:t>2.申请人逾期未按收费通知要求缴纳费用、行政机关不再处理其政府信息公开申请</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237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3"/>
              <w:widowControl/>
              <w:wordWrap w:val="0"/>
              <w:spacing w:beforeAutospacing="0" w:afterAutospacing="0" w:line="240" w:lineRule="atLeast"/>
            </w:pPr>
            <w:r>
              <w:rPr>
                <w:rFonts w:hint="eastAsia" w:ascii="仿宋_GB2312" w:hAnsi="sans-serif" w:eastAsia="仿宋_GB2312" w:cs="仿宋_GB2312"/>
                <w:color w:val="000000"/>
                <w:sz w:val="16"/>
                <w:szCs w:val="16"/>
              </w:rPr>
              <w:t>3.其他</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336"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374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40" w:lineRule="atLeast"/>
            </w:pPr>
            <w:r>
              <w:rPr>
                <w:rFonts w:hint="eastAsia" w:ascii="黑体" w:hAnsi="宋体" w:eastAsia="黑体" w:cs="黑体"/>
                <w:color w:val="000000"/>
                <w:sz w:val="16"/>
                <w:szCs w:val="16"/>
              </w:rPr>
              <w:t>（七）总计</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4080"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40" w:lineRule="atLeast"/>
            </w:pPr>
            <w:r>
              <w:rPr>
                <w:rFonts w:hint="eastAsia" w:ascii="黑体" w:hAnsi="宋体" w:eastAsia="黑体" w:cs="黑体"/>
                <w:color w:val="000000"/>
                <w:sz w:val="16"/>
                <w:szCs w:val="16"/>
              </w:rPr>
              <w:t>四、结转下年度继续办理</w:t>
            </w:r>
          </w:p>
        </w:tc>
        <w:tc>
          <w:tcPr>
            <w:tcW w:w="660"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88"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56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456"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c>
          <w:tcPr>
            <w:tcW w:w="684" w:type="dxa"/>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288" w:lineRule="atLeast"/>
              <w:jc w:val="center"/>
            </w:pPr>
            <w:r>
              <w:rPr>
                <w:rFonts w:hint="eastAsia" w:ascii="仿宋_GB2312" w:hAnsi="sans-serif" w:eastAsia="仿宋_GB2312" w:cs="仿宋_GB2312"/>
                <w:color w:val="000000"/>
                <w:sz w:val="16"/>
                <w:szCs w:val="16"/>
              </w:rPr>
              <w:t>0</w:t>
            </w:r>
          </w:p>
        </w:tc>
      </w:tr>
    </w:tbl>
    <w:p>
      <w:pPr>
        <w:pStyle w:val="3"/>
        <w:widowControl/>
        <w:spacing w:before="156" w:beforeLines="50" w:beforeAutospacing="0" w:after="156" w:afterLines="50" w:afterAutospacing="0" w:line="520" w:lineRule="exact"/>
        <w:ind w:firstLine="640" w:firstLineChars="200"/>
        <w:jc w:val="both"/>
        <w:rPr>
          <w:rFonts w:ascii="黑体" w:hAnsi="宋体" w:eastAsia="黑体" w:cs="黑体"/>
          <w:color w:val="000000"/>
          <w:sz w:val="32"/>
          <w:szCs w:val="32"/>
        </w:rPr>
      </w:pPr>
      <w:r>
        <w:rPr>
          <w:rFonts w:hint="eastAsia" w:ascii="黑体" w:hAnsi="宋体" w:eastAsia="黑体" w:cs="黑体"/>
          <w:color w:val="000000"/>
          <w:sz w:val="32"/>
          <w:szCs w:val="32"/>
        </w:rPr>
        <w:t>四、因政府信息公开工作被申请行政复议、提起行政诉讼情况</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60" w:type="dxa"/>
          <w:left w:w="120" w:type="dxa"/>
          <w:bottom w:w="60" w:type="dxa"/>
          <w:right w:w="120" w:type="dxa"/>
        </w:tblCellMar>
      </w:tblPr>
      <w:tblGrid>
        <w:gridCol w:w="924"/>
        <w:gridCol w:w="480"/>
        <w:gridCol w:w="480"/>
        <w:gridCol w:w="480"/>
        <w:gridCol w:w="540"/>
        <w:gridCol w:w="444"/>
        <w:gridCol w:w="480"/>
        <w:gridCol w:w="480"/>
        <w:gridCol w:w="480"/>
        <w:gridCol w:w="492"/>
        <w:gridCol w:w="480"/>
        <w:gridCol w:w="480"/>
        <w:gridCol w:w="480"/>
        <w:gridCol w:w="480"/>
        <w:gridCol w:w="73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396" w:hRule="atLeast"/>
          <w:jc w:val="center"/>
        </w:trPr>
        <w:tc>
          <w:tcPr>
            <w:tcW w:w="2904"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jc w:val="center"/>
            </w:pPr>
            <w:r>
              <w:rPr>
                <w:rFonts w:hint="eastAsia" w:ascii="黑体" w:hAnsi="宋体" w:eastAsia="黑体" w:cs="黑体"/>
                <w:color w:val="000000"/>
                <w:sz w:val="15"/>
                <w:szCs w:val="15"/>
              </w:rPr>
              <w:t>行政复议</w:t>
            </w:r>
          </w:p>
        </w:tc>
        <w:tc>
          <w:tcPr>
            <w:tcW w:w="5034" w:type="dxa"/>
            <w:gridSpan w:val="10"/>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jc w:val="center"/>
            </w:pPr>
            <w:r>
              <w:rPr>
                <w:rFonts w:hint="eastAsia" w:ascii="黑体" w:hAnsi="宋体" w:eastAsia="黑体" w:cs="黑体"/>
                <w:color w:val="000000"/>
                <w:sz w:val="15"/>
                <w:szCs w:val="15"/>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432" w:hRule="atLeast"/>
          <w:jc w:val="center"/>
        </w:trPr>
        <w:tc>
          <w:tcPr>
            <w:tcW w:w="924"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ind w:left="-120" w:right="-132"/>
              <w:jc w:val="center"/>
            </w:pPr>
            <w:r>
              <w:rPr>
                <w:rFonts w:hint="eastAsia" w:ascii="黑体" w:hAnsi="宋体" w:eastAsia="黑体" w:cs="黑体"/>
                <w:color w:val="000000"/>
                <w:sz w:val="15"/>
                <w:szCs w:val="15"/>
              </w:rPr>
              <w:t>结果</w:t>
            </w:r>
          </w:p>
          <w:p>
            <w:pPr>
              <w:pStyle w:val="3"/>
              <w:widowControl/>
              <w:wordWrap w:val="0"/>
              <w:spacing w:beforeAutospacing="0" w:afterAutospacing="0" w:line="315" w:lineRule="atLeast"/>
              <w:ind w:left="-120" w:right="-132"/>
              <w:jc w:val="center"/>
            </w:pPr>
            <w:r>
              <w:rPr>
                <w:rFonts w:hint="eastAsia" w:ascii="黑体" w:hAnsi="宋体" w:eastAsia="黑体" w:cs="黑体"/>
                <w:color w:val="000000"/>
                <w:sz w:val="15"/>
                <w:szCs w:val="15"/>
              </w:rPr>
              <w:t>维持</w:t>
            </w:r>
          </w:p>
        </w:tc>
        <w:tc>
          <w:tcPr>
            <w:tcW w:w="480"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ind w:left="-36" w:right="-108"/>
              <w:jc w:val="center"/>
            </w:pPr>
            <w:r>
              <w:rPr>
                <w:rFonts w:hint="eastAsia" w:ascii="黑体" w:hAnsi="宋体" w:eastAsia="黑体" w:cs="黑体"/>
                <w:color w:val="000000"/>
                <w:sz w:val="15"/>
                <w:szCs w:val="15"/>
              </w:rPr>
              <w:t>结果纠正</w:t>
            </w:r>
          </w:p>
        </w:tc>
        <w:tc>
          <w:tcPr>
            <w:tcW w:w="480" w:type="dxa"/>
            <w:vMerge w:val="restar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ind w:left="-60" w:right="-72"/>
              <w:jc w:val="center"/>
            </w:pPr>
            <w:r>
              <w:rPr>
                <w:rFonts w:hint="eastAsia" w:ascii="黑体" w:hAnsi="宋体" w:eastAsia="黑体" w:cs="黑体"/>
                <w:color w:val="000000"/>
                <w:sz w:val="15"/>
                <w:szCs w:val="15"/>
              </w:rPr>
              <w:t>其他结果</w:t>
            </w:r>
          </w:p>
        </w:tc>
        <w:tc>
          <w:tcPr>
            <w:tcW w:w="480" w:type="dxa"/>
            <w:vMerge w:val="restar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ind w:left="-96" w:right="-96"/>
              <w:jc w:val="center"/>
            </w:pPr>
            <w:r>
              <w:rPr>
                <w:rFonts w:hint="eastAsia" w:ascii="黑体" w:hAnsi="宋体" w:eastAsia="黑体" w:cs="黑体"/>
                <w:color w:val="000000"/>
                <w:sz w:val="15"/>
                <w:szCs w:val="15"/>
              </w:rPr>
              <w:t>尚未</w:t>
            </w:r>
          </w:p>
          <w:p>
            <w:pPr>
              <w:pStyle w:val="3"/>
              <w:widowControl/>
              <w:wordWrap w:val="0"/>
              <w:spacing w:beforeAutospacing="0" w:afterAutospacing="0" w:line="315" w:lineRule="atLeast"/>
              <w:ind w:left="-96" w:right="-96"/>
              <w:jc w:val="center"/>
            </w:pPr>
            <w:r>
              <w:rPr>
                <w:rFonts w:hint="eastAsia" w:ascii="黑体" w:hAnsi="宋体" w:eastAsia="黑体" w:cs="黑体"/>
                <w:color w:val="000000"/>
                <w:sz w:val="15"/>
                <w:szCs w:val="15"/>
              </w:rPr>
              <w:t>审结</w:t>
            </w:r>
          </w:p>
        </w:tc>
        <w:tc>
          <w:tcPr>
            <w:tcW w:w="540" w:type="dxa"/>
            <w:vMerge w:val="restar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252" w:lineRule="atLeast"/>
              <w:jc w:val="center"/>
            </w:pPr>
            <w:r>
              <w:rPr>
                <w:rFonts w:hint="eastAsia" w:ascii="黑体" w:hAnsi="宋体" w:eastAsia="黑体" w:cs="黑体"/>
                <w:color w:val="000000"/>
                <w:sz w:val="15"/>
                <w:szCs w:val="15"/>
              </w:rPr>
              <w:t>总</w:t>
            </w:r>
          </w:p>
          <w:p>
            <w:pPr>
              <w:pStyle w:val="3"/>
              <w:widowControl/>
              <w:wordWrap w:val="0"/>
              <w:spacing w:beforeAutospacing="0" w:afterAutospacing="0" w:line="252" w:lineRule="atLeast"/>
              <w:jc w:val="center"/>
            </w:pPr>
            <w:r>
              <w:rPr>
                <w:rFonts w:hint="eastAsia" w:ascii="黑体" w:hAnsi="宋体" w:eastAsia="黑体" w:cs="黑体"/>
                <w:color w:val="000000"/>
                <w:sz w:val="15"/>
                <w:szCs w:val="15"/>
              </w:rPr>
              <w:t>计</w:t>
            </w:r>
          </w:p>
        </w:tc>
        <w:tc>
          <w:tcPr>
            <w:tcW w:w="2376" w:type="dxa"/>
            <w:gridSpan w:val="5"/>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jc w:val="center"/>
            </w:pPr>
            <w:r>
              <w:rPr>
                <w:rFonts w:hint="eastAsia" w:ascii="黑体" w:hAnsi="宋体" w:eastAsia="黑体" w:cs="黑体"/>
                <w:color w:val="000000"/>
                <w:sz w:val="15"/>
                <w:szCs w:val="15"/>
              </w:rPr>
              <w:t>未经复议直接起诉</w:t>
            </w:r>
          </w:p>
        </w:tc>
        <w:tc>
          <w:tcPr>
            <w:tcW w:w="2658" w:type="dxa"/>
            <w:gridSpan w:val="5"/>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jc w:val="center"/>
            </w:pPr>
            <w:bookmarkStart w:id="9" w:name="_Hlk67039688"/>
            <w:r>
              <w:rPr>
                <w:rFonts w:hint="eastAsia" w:ascii="黑体" w:hAnsi="宋体" w:eastAsia="黑体" w:cs="黑体"/>
                <w:color w:val="000000"/>
                <w:sz w:val="15"/>
                <w:szCs w:val="15"/>
              </w:rPr>
              <w:t>复议后起诉</w:t>
            </w:r>
            <w:bookmarkEnd w:id="9"/>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trHeight w:val="720" w:hRule="atLeast"/>
          <w:jc w:val="center"/>
        </w:trPr>
        <w:tc>
          <w:tcPr>
            <w:tcW w:w="924"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480"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480" w:type="dxa"/>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480" w:type="dxa"/>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540" w:type="dxa"/>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ascii="sans-serif" w:hAnsi="sans-serif" w:eastAsia="sans-serif" w:cs="sans-serif"/>
                <w:color w:val="000000"/>
                <w:sz w:val="27"/>
                <w:szCs w:val="27"/>
              </w:rPr>
            </w:pPr>
          </w:p>
        </w:tc>
        <w:tc>
          <w:tcPr>
            <w:tcW w:w="44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ind w:left="-84" w:right="-96"/>
              <w:jc w:val="center"/>
            </w:pPr>
            <w:r>
              <w:rPr>
                <w:rFonts w:hint="eastAsia" w:ascii="黑体" w:hAnsi="宋体" w:eastAsia="黑体" w:cs="黑体"/>
                <w:color w:val="000000"/>
                <w:sz w:val="15"/>
                <w:szCs w:val="15"/>
              </w:rPr>
              <w:t>结果维持</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ind w:left="-72" w:right="-72"/>
              <w:jc w:val="center"/>
            </w:pPr>
            <w:r>
              <w:rPr>
                <w:rFonts w:hint="eastAsia" w:ascii="黑体" w:hAnsi="宋体" w:eastAsia="黑体" w:cs="黑体"/>
                <w:color w:val="000000"/>
                <w:sz w:val="15"/>
                <w:szCs w:val="15"/>
              </w:rPr>
              <w:t>结果纠正</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ind w:left="-96" w:right="-108"/>
              <w:jc w:val="center"/>
            </w:pPr>
            <w:r>
              <w:rPr>
                <w:rFonts w:hint="eastAsia" w:ascii="黑体" w:hAnsi="宋体" w:eastAsia="黑体" w:cs="黑体"/>
                <w:color w:val="000000"/>
                <w:sz w:val="15"/>
                <w:szCs w:val="15"/>
              </w:rPr>
              <w:t>其他</w:t>
            </w:r>
          </w:p>
          <w:p>
            <w:pPr>
              <w:pStyle w:val="3"/>
              <w:widowControl/>
              <w:wordWrap w:val="0"/>
              <w:spacing w:beforeAutospacing="0" w:afterAutospacing="0" w:line="315" w:lineRule="atLeast"/>
              <w:ind w:left="-96" w:right="-108"/>
              <w:jc w:val="center"/>
            </w:pPr>
            <w:r>
              <w:rPr>
                <w:rFonts w:hint="eastAsia" w:ascii="黑体" w:hAnsi="宋体" w:eastAsia="黑体" w:cs="黑体"/>
                <w:color w:val="000000"/>
                <w:sz w:val="15"/>
                <w:szCs w:val="15"/>
              </w:rPr>
              <w:t>结果</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ind w:left="-132" w:right="-120"/>
              <w:jc w:val="center"/>
            </w:pPr>
            <w:r>
              <w:rPr>
                <w:rFonts w:hint="eastAsia" w:ascii="黑体" w:hAnsi="宋体" w:eastAsia="黑体" w:cs="黑体"/>
                <w:color w:val="000000"/>
                <w:sz w:val="15"/>
                <w:szCs w:val="15"/>
              </w:rPr>
              <w:t>尚未</w:t>
            </w:r>
          </w:p>
          <w:p>
            <w:pPr>
              <w:pStyle w:val="3"/>
              <w:widowControl/>
              <w:wordWrap w:val="0"/>
              <w:spacing w:beforeAutospacing="0" w:afterAutospacing="0" w:line="315" w:lineRule="atLeast"/>
              <w:ind w:left="-132" w:right="-120"/>
              <w:jc w:val="center"/>
            </w:pPr>
            <w:r>
              <w:rPr>
                <w:rFonts w:hint="eastAsia" w:ascii="黑体" w:hAnsi="宋体" w:eastAsia="黑体" w:cs="黑体"/>
                <w:color w:val="000000"/>
                <w:sz w:val="15"/>
                <w:szCs w:val="15"/>
              </w:rPr>
              <w:t>审结</w:t>
            </w:r>
          </w:p>
        </w:tc>
        <w:tc>
          <w:tcPr>
            <w:tcW w:w="49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jc w:val="center"/>
            </w:pPr>
            <w:r>
              <w:rPr>
                <w:rFonts w:hint="eastAsia" w:ascii="黑体" w:hAnsi="宋体" w:eastAsia="黑体" w:cs="黑体"/>
                <w:color w:val="000000"/>
                <w:sz w:val="15"/>
                <w:szCs w:val="15"/>
              </w:rPr>
              <w:t>总计</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ind w:left="-84" w:right="-60"/>
              <w:jc w:val="center"/>
            </w:pPr>
            <w:r>
              <w:rPr>
                <w:rFonts w:hint="eastAsia" w:ascii="黑体" w:hAnsi="宋体" w:eastAsia="黑体" w:cs="黑体"/>
                <w:color w:val="000000"/>
                <w:sz w:val="15"/>
                <w:szCs w:val="15"/>
              </w:rPr>
              <w:t>结果维持</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ind w:left="-108" w:right="-96"/>
              <w:jc w:val="center"/>
            </w:pPr>
            <w:r>
              <w:rPr>
                <w:rFonts w:hint="eastAsia" w:ascii="黑体" w:hAnsi="宋体" w:eastAsia="黑体" w:cs="黑体"/>
                <w:color w:val="000000"/>
                <w:sz w:val="15"/>
                <w:szCs w:val="15"/>
              </w:rPr>
              <w:t>结果</w:t>
            </w:r>
          </w:p>
          <w:p>
            <w:pPr>
              <w:pStyle w:val="3"/>
              <w:widowControl/>
              <w:wordWrap w:val="0"/>
              <w:spacing w:beforeAutospacing="0" w:afterAutospacing="0" w:line="315" w:lineRule="atLeast"/>
              <w:ind w:left="-108" w:right="-96"/>
              <w:jc w:val="center"/>
            </w:pPr>
            <w:r>
              <w:rPr>
                <w:rFonts w:hint="eastAsia" w:ascii="黑体" w:hAnsi="宋体" w:eastAsia="黑体" w:cs="黑体"/>
                <w:color w:val="000000"/>
                <w:sz w:val="15"/>
                <w:szCs w:val="15"/>
              </w:rPr>
              <w:t>纠正</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ind w:left="-144" w:right="-108"/>
              <w:jc w:val="center"/>
            </w:pPr>
            <w:r>
              <w:rPr>
                <w:rFonts w:hint="eastAsia" w:ascii="黑体" w:hAnsi="宋体" w:eastAsia="黑体" w:cs="黑体"/>
                <w:color w:val="000000"/>
                <w:sz w:val="15"/>
                <w:szCs w:val="15"/>
              </w:rPr>
              <w:t>其他</w:t>
            </w:r>
          </w:p>
          <w:p>
            <w:pPr>
              <w:pStyle w:val="3"/>
              <w:widowControl/>
              <w:wordWrap w:val="0"/>
              <w:spacing w:beforeAutospacing="0" w:afterAutospacing="0" w:line="315" w:lineRule="atLeast"/>
              <w:ind w:left="-144" w:right="-108"/>
              <w:jc w:val="center"/>
            </w:pPr>
            <w:r>
              <w:rPr>
                <w:rFonts w:hint="eastAsia" w:ascii="黑体" w:hAnsi="宋体" w:eastAsia="黑体" w:cs="黑体"/>
                <w:color w:val="000000"/>
                <w:sz w:val="15"/>
                <w:szCs w:val="15"/>
              </w:rPr>
              <w:t>结果</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ind w:left="-48" w:right="-84"/>
              <w:jc w:val="center"/>
            </w:pPr>
            <w:r>
              <w:rPr>
                <w:rFonts w:hint="eastAsia" w:ascii="黑体" w:hAnsi="宋体" w:eastAsia="黑体" w:cs="黑体"/>
                <w:color w:val="000000"/>
                <w:sz w:val="15"/>
                <w:szCs w:val="15"/>
              </w:rPr>
              <w:t>尚未审结</w:t>
            </w:r>
          </w:p>
        </w:tc>
        <w:tc>
          <w:tcPr>
            <w:tcW w:w="738"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Autospacing="0" w:line="315" w:lineRule="atLeast"/>
              <w:jc w:val="center"/>
            </w:pPr>
            <w:r>
              <w:rPr>
                <w:rFonts w:hint="eastAsia" w:ascii="黑体" w:hAnsi="宋体" w:eastAsia="黑体" w:cs="黑体"/>
                <w:color w:val="000000"/>
                <w:sz w:val="15"/>
                <w:szCs w:val="15"/>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60" w:type="dxa"/>
            <w:left w:w="120" w:type="dxa"/>
            <w:bottom w:w="60" w:type="dxa"/>
            <w:right w:w="120" w:type="dxa"/>
          </w:tblCellMar>
        </w:tblPrEx>
        <w:trPr>
          <w:jc w:val="center"/>
        </w:trPr>
        <w:tc>
          <w:tcPr>
            <w:tcW w:w="924"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54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44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49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pPr>
            <w:r>
              <w:rPr>
                <w:rFonts w:ascii="Times New Roman" w:hAnsi="Times New Roman" w:eastAsia="宋体"/>
                <w:color w:val="000000"/>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c>
          <w:tcPr>
            <w:tcW w:w="73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3"/>
              <w:widowControl/>
              <w:wordWrap w:val="0"/>
              <w:spacing w:beforeAutospacing="0" w:after="144" w:afterAutospacing="0" w:line="315" w:lineRule="atLeast"/>
              <w:jc w:val="center"/>
            </w:pPr>
            <w:r>
              <w:rPr>
                <w:rFonts w:ascii="Times New Roman" w:hAnsi="Times New Roman" w:eastAsia="宋体"/>
                <w:color w:val="000000"/>
                <w:sz w:val="16"/>
                <w:szCs w:val="16"/>
              </w:rPr>
              <w:t>0</w:t>
            </w:r>
          </w:p>
        </w:tc>
      </w:tr>
    </w:tbl>
    <w:p>
      <w:pPr>
        <w:pStyle w:val="3"/>
        <w:widowControl/>
        <w:spacing w:beforeAutospacing="0" w:afterAutospacing="0" w:line="560" w:lineRule="exact"/>
        <w:ind w:firstLine="640" w:firstLineChars="200"/>
        <w:jc w:val="both"/>
        <w:rPr>
          <w:rFonts w:ascii="黑体" w:hAnsi="宋体" w:eastAsia="黑体" w:cs="黑体"/>
          <w:color w:val="000000"/>
          <w:sz w:val="32"/>
          <w:szCs w:val="32"/>
        </w:rPr>
      </w:pPr>
      <w:r>
        <w:rPr>
          <w:rFonts w:ascii="黑体" w:hAnsi="宋体" w:eastAsia="黑体" w:cs="黑体"/>
          <w:color w:val="000000"/>
          <w:sz w:val="32"/>
          <w:szCs w:val="32"/>
        </w:rPr>
        <w:t>五、存在的主要问题及改进情况</w:t>
      </w:r>
    </w:p>
    <w:p>
      <w:pPr>
        <w:pStyle w:val="3"/>
        <w:widowControl/>
        <w:spacing w:beforeAutospacing="0" w:afterAutospacing="0" w:line="560" w:lineRule="exact"/>
        <w:ind w:firstLine="640" w:firstLineChars="200"/>
        <w:jc w:val="both"/>
        <w:rPr>
          <w:rFonts w:ascii="黑体" w:hAnsi="宋体" w:eastAsia="黑体" w:cs="黑体"/>
          <w:color w:val="000000"/>
          <w:sz w:val="32"/>
          <w:szCs w:val="32"/>
        </w:rPr>
      </w:pPr>
      <w:r>
        <w:rPr>
          <w:rFonts w:hint="eastAsia" w:ascii="仿宋_GB2312" w:hAnsi="仿宋_GB2312" w:eastAsia="仿宋_GB2312" w:cs="仿宋_GB2312"/>
          <w:color w:val="000000"/>
          <w:sz w:val="32"/>
          <w:szCs w:val="32"/>
          <w:shd w:val="clear" w:color="auto" w:fill="FFFFFF"/>
        </w:rPr>
        <w:t>2023年，我局政府信息公开工作取得了一定的成绩，但仍存在一些不足。比如，信息公开不够全面。一些与公众生活相关的市政建设信息公开较少，这也是信息公开工作的一大短板。</w:t>
      </w:r>
      <w:r>
        <w:rPr>
          <w:rFonts w:hint="eastAsia" w:ascii="仿宋_GB2312" w:hAnsi="仿宋_GB2312" w:eastAsia="仿宋_GB2312" w:cs="仿宋_GB2312"/>
          <w:color w:val="000000"/>
          <w:sz w:val="32"/>
          <w:szCs w:val="32"/>
          <w:shd w:val="clear" w:color="auto" w:fill="FFFFFF"/>
          <w:lang w:val="en-US" w:eastAsia="zh-CN"/>
        </w:rPr>
        <w:t>依旧存在</w:t>
      </w:r>
      <w:r>
        <w:rPr>
          <w:rFonts w:hint="eastAsia" w:ascii="仿宋_GB2312" w:hAnsi="仿宋_GB2312" w:eastAsia="仿宋_GB2312" w:cs="仿宋_GB2312"/>
          <w:color w:val="000000"/>
          <w:sz w:val="32"/>
          <w:szCs w:val="32"/>
          <w:shd w:val="clear" w:color="auto" w:fill="FFFFFF"/>
        </w:rPr>
        <w:t>信息公开的公开质量不高，公开不规范等问题。</w:t>
      </w:r>
    </w:p>
    <w:p>
      <w:pPr>
        <w:pStyle w:val="3"/>
        <w:widowControl/>
        <w:spacing w:beforeAutospacing="0" w:afterAutospacing="0" w:line="560" w:lineRule="exact"/>
        <w:ind w:firstLine="640" w:firstLineChars="200"/>
        <w:jc w:val="both"/>
        <w:rPr>
          <w:rFonts w:ascii="黑体" w:hAnsi="宋体" w:eastAsia="黑体" w:cs="黑体"/>
          <w:color w:val="000000"/>
          <w:sz w:val="32"/>
          <w:szCs w:val="32"/>
        </w:rPr>
      </w:pPr>
      <w:r>
        <w:rPr>
          <w:rFonts w:hint="eastAsia" w:ascii="仿宋_GB2312" w:hAnsi="仿宋_GB2312" w:eastAsia="仿宋_GB2312" w:cs="仿宋_GB2312"/>
          <w:color w:val="000000"/>
          <w:sz w:val="32"/>
          <w:szCs w:val="32"/>
          <w:shd w:val="clear" w:color="auto" w:fill="FFFFFF"/>
        </w:rPr>
        <w:t>下一步，我局将进一步加强政务公开管理力度，进一步健全和完善政府信息公开机制，推进政务公开更上新台阶。一是组织政务公开工作人员对保密条例、政府信息公开条例、政府信息公开办法等条例规章制度进一步加强学习，加强新闻通讯撰写能力培训，不断提高政务公开工作人员的能力素质。二是进一步健全和完善政务公开制度。进一步理顺工作机制，明确政务公开责任，规范政务公开内容，提高政务公开质量，不断增强工作透明度。</w:t>
      </w:r>
    </w:p>
    <w:p>
      <w:pPr>
        <w:pStyle w:val="3"/>
        <w:widowControl/>
        <w:spacing w:beforeAutospacing="0" w:afterAutospacing="0" w:line="560" w:lineRule="exact"/>
        <w:ind w:firstLine="640" w:firstLineChars="200"/>
        <w:jc w:val="both"/>
        <w:rPr>
          <w:rFonts w:ascii="黑体" w:hAnsi="宋体" w:eastAsia="黑体" w:cs="黑体"/>
          <w:color w:val="000000"/>
          <w:sz w:val="32"/>
          <w:szCs w:val="32"/>
        </w:rPr>
      </w:pPr>
      <w:r>
        <w:rPr>
          <w:rFonts w:ascii="黑体" w:hAnsi="宋体" w:eastAsia="黑体" w:cs="黑体"/>
          <w:color w:val="000000"/>
          <w:sz w:val="32"/>
          <w:szCs w:val="32"/>
        </w:rPr>
        <w:t>六、其他需要报告的事项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仿宋_GB2312" w:eastAsia="楷体_GB2312" w:cs="仿宋_GB2312"/>
          <w:color w:val="000000" w:themeColor="text1"/>
          <w:sz w:val="32"/>
          <w:szCs w:val="32"/>
          <w14:textFill>
            <w14:solidFill>
              <w14:schemeClr w14:val="tx1"/>
            </w14:solidFill>
          </w14:textFill>
        </w:rPr>
        <w:t>一是收取信息处理费情况。</w:t>
      </w:r>
      <w:r>
        <w:rPr>
          <w:rFonts w:hint="eastAsia" w:ascii="仿宋_GB2312" w:hAnsi="仿宋_GB2312" w:eastAsia="仿宋_GB2312" w:cs="仿宋_GB2312"/>
          <w:sz w:val="32"/>
          <w:szCs w:val="32"/>
        </w:rPr>
        <w:t>依据《政府信息公开信息处理费管理办法》，我局没有收取信息处理费的情况;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微软雅黑" w:hAnsi="微软雅黑" w:eastAsia="微软雅黑" w:cs="微软雅黑"/>
          <w:i w:val="0"/>
          <w:iCs w:val="0"/>
          <w:caps w:val="0"/>
          <w:color w:val="333333"/>
          <w:spacing w:val="0"/>
          <w:sz w:val="21"/>
          <w:szCs w:val="21"/>
        </w:rPr>
      </w:pPr>
      <w:r>
        <w:rPr>
          <w:rFonts w:hint="eastAsia" w:ascii="楷体_GB2312" w:hAnsi="仿宋_GB2312" w:eastAsia="楷体_GB2312" w:cs="仿宋_GB2312"/>
          <w:color w:val="000000" w:themeColor="text1"/>
          <w:kern w:val="2"/>
          <w:sz w:val="32"/>
          <w:szCs w:val="32"/>
          <w:lang w:val="en-US" w:eastAsia="zh-CN" w:bidi="ar-SA"/>
          <w14:textFill>
            <w14:solidFill>
              <w14:schemeClr w14:val="tx1"/>
            </w14:solidFill>
          </w14:textFill>
        </w:rPr>
        <w:t>二是落实上级年度政务公开工作要点情况。</w:t>
      </w:r>
      <w:r>
        <w:rPr>
          <w:rFonts w:hint="eastAsia" w:ascii="仿宋_GB2312" w:hAnsi="仿宋_GB2312" w:eastAsia="仿宋_GB2312" w:cs="仿宋_GB2312"/>
          <w:kern w:val="2"/>
          <w:sz w:val="32"/>
          <w:szCs w:val="32"/>
          <w:lang w:val="en-US" w:eastAsia="zh-CN" w:bidi="ar-SA"/>
        </w:rPr>
        <w:t>强化重点领域信息公开。 依托政府网站，做好行政执法公示，在事前、事中、事后主动向社会公众公开行政执法信息，自觉接受监督的活动。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楷体_GB2312" w:hAnsi="仿宋_GB2312" w:eastAsia="楷体_GB2312" w:cs="仿宋_GB2312"/>
          <w:color w:val="000000" w:themeColor="text1"/>
          <w:kern w:val="2"/>
          <w:sz w:val="32"/>
          <w:szCs w:val="32"/>
          <w:lang w:val="en-US" w:eastAsia="zh-CN" w:bidi="ar-SA"/>
          <w14:textFill>
            <w14:solidFill>
              <w14:schemeClr w14:val="tx1"/>
            </w14:solidFill>
          </w14:textFill>
        </w:rPr>
        <w:t>三是</w:t>
      </w:r>
      <w:r>
        <w:rPr>
          <w:rFonts w:ascii="楷体" w:hAnsi="楷体" w:eastAsia="楷体" w:cs="楷体"/>
          <w:i w:val="0"/>
          <w:iCs w:val="0"/>
          <w:caps w:val="0"/>
          <w:color w:val="000000"/>
          <w:spacing w:val="0"/>
          <w:sz w:val="32"/>
          <w:szCs w:val="32"/>
          <w:shd w:val="clear" w:fill="FFFFFF"/>
        </w:rPr>
        <w:t>人大代表建议和政协提案办理公开情况</w:t>
      </w:r>
      <w:r>
        <w:rPr>
          <w:rFonts w:ascii="仿宋_GB2312" w:hAnsi="宋体" w:eastAsia="仿宋_GB2312" w:cs="仿宋_GB2312"/>
          <w:i w:val="0"/>
          <w:iCs w:val="0"/>
          <w:caps w:val="0"/>
          <w:color w:val="000000"/>
          <w:spacing w:val="0"/>
          <w:sz w:val="32"/>
          <w:szCs w:val="32"/>
          <w:shd w:val="clear" w:fill="FFFFFF"/>
        </w:rPr>
        <w:t>。</w:t>
      </w:r>
      <w:r>
        <w:rPr>
          <w:rFonts w:hint="eastAsia" w:ascii="仿宋_GB2312" w:hAnsi="仿宋_GB2312" w:eastAsia="仿宋_GB2312"/>
          <w:color w:val="000000" w:themeColor="text1"/>
          <w:sz w:val="32"/>
          <w:szCs w:val="32"/>
          <w:lang w:eastAsia="zh-CN"/>
          <w14:textFill>
            <w14:solidFill>
              <w14:schemeClr w14:val="tx1"/>
            </w14:solidFill>
          </w14:textFill>
        </w:rPr>
        <w:t>区</w:t>
      </w:r>
      <w:r>
        <w:rPr>
          <w:rFonts w:hint="eastAsia" w:ascii="仿宋_GB2312" w:hAnsi="仿宋_GB2312" w:eastAsia="仿宋_GB2312"/>
          <w:color w:val="000000" w:themeColor="text1"/>
          <w:sz w:val="32"/>
          <w:szCs w:val="32"/>
          <w:lang w:val="en-US" w:eastAsia="zh-CN"/>
          <w14:textFill>
            <w14:solidFill>
              <w14:schemeClr w14:val="tx1"/>
            </w14:solidFill>
          </w14:textFill>
        </w:rPr>
        <w:t>综合行政执法局</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共承担区十三届人大二次会议代表建议11</w:t>
      </w:r>
      <w:r>
        <w:rPr>
          <w:rFonts w:hint="eastAsia" w:ascii="仿宋_GB2312" w:hAnsi="仿宋_GB2312" w:eastAsia="仿宋_GB2312" w:cs="仿宋_GB2312"/>
          <w:i w:val="0"/>
          <w:iCs w:val="0"/>
          <w:caps w:val="0"/>
          <w:color w:val="000000"/>
          <w:spacing w:val="0"/>
          <w:sz w:val="32"/>
          <w:szCs w:val="32"/>
          <w:highlight w:val="none"/>
          <w:shd w:val="clear" w:fill="FFFFFF"/>
        </w:rPr>
        <w:t>件</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承担区政协十届二次会议提案</w:t>
      </w:r>
      <w:bookmarkStart w:id="10" w:name="_GoBack"/>
      <w:bookmarkEnd w:id="10"/>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8</w:t>
      </w:r>
      <w:r>
        <w:rPr>
          <w:rFonts w:hint="eastAsia" w:ascii="仿宋_GB2312" w:hAnsi="仿宋_GB2312" w:eastAsia="仿宋_GB2312" w:cs="仿宋_GB2312"/>
          <w:i w:val="0"/>
          <w:iCs w:val="0"/>
          <w:caps w:val="0"/>
          <w:color w:val="000000"/>
          <w:spacing w:val="0"/>
          <w:sz w:val="32"/>
          <w:szCs w:val="32"/>
          <w:highlight w:val="none"/>
          <w:shd w:val="clear" w:fill="FFFFFF"/>
        </w:rPr>
        <w:t>件</w:t>
      </w:r>
      <w:r>
        <w:rPr>
          <w:rFonts w:hint="eastAsia" w:ascii="仿宋_GB2312" w:hAns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内容涉及</w:t>
      </w:r>
      <w:r>
        <w:rPr>
          <w:rFonts w:hint="eastAsia" w:ascii="仿宋_GB2312" w:eastAsia="仿宋_GB2312"/>
          <w:color w:val="000000" w:themeColor="text1"/>
          <w:sz w:val="32"/>
          <w:szCs w:val="32"/>
          <w:lang w:val="en-US" w:eastAsia="zh-CN"/>
          <w14:textFill>
            <w14:solidFill>
              <w14:schemeClr w14:val="tx1"/>
            </w14:solidFill>
          </w14:textFill>
        </w:rPr>
        <w:t>城市基础设施建设</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交通</w:t>
      </w:r>
      <w:r>
        <w:rPr>
          <w:rFonts w:hint="eastAsia" w:ascii="仿宋_GB2312" w:eastAsia="仿宋_GB2312"/>
          <w:color w:val="000000" w:themeColor="text1"/>
          <w:sz w:val="32"/>
          <w:szCs w:val="32"/>
          <w14:textFill>
            <w14:solidFill>
              <w14:schemeClr w14:val="tx1"/>
            </w14:solidFill>
          </w14:textFill>
        </w:rPr>
        <w:t>秩序</w:t>
      </w:r>
      <w:r>
        <w:rPr>
          <w:rFonts w:hint="eastAsia" w:ascii="仿宋_GB2312" w:eastAsia="仿宋_GB2312"/>
          <w:color w:val="000000" w:themeColor="text1"/>
          <w:sz w:val="32"/>
          <w:szCs w:val="32"/>
          <w:lang w:eastAsia="zh-CN"/>
          <w14:textFill>
            <w14:solidFill>
              <w14:schemeClr w14:val="tx1"/>
            </w14:solidFill>
          </w14:textFill>
        </w:rPr>
        <w:t>、野广告</w:t>
      </w:r>
      <w:r>
        <w:rPr>
          <w:rFonts w:hint="eastAsia" w:ascii="仿宋_GB2312" w:eastAsia="仿宋_GB2312"/>
          <w:color w:val="000000" w:themeColor="text1"/>
          <w:sz w:val="32"/>
          <w:szCs w:val="32"/>
          <w14:textFill>
            <w14:solidFill>
              <w14:schemeClr w14:val="tx1"/>
            </w14:solidFill>
          </w14:textFill>
        </w:rPr>
        <w:t>等多个方面</w:t>
      </w:r>
      <w:r>
        <w:rPr>
          <w:rFonts w:hint="eastAsia" w:ascii="仿宋_GB2312" w:eastAsia="仿宋_GB2312"/>
          <w:color w:val="000000" w:themeColor="text1"/>
          <w:sz w:val="32"/>
          <w:szCs w:val="32"/>
          <w:lang w:eastAsia="zh-CN"/>
          <w14:textFill>
            <w14:solidFill>
              <w14:schemeClr w14:val="tx1"/>
            </w14:solidFill>
          </w14:textFill>
        </w:rPr>
        <w:t>。</w:t>
      </w:r>
      <w:r>
        <w:rPr>
          <w:rFonts w:ascii="仿宋_GB2312" w:hAnsi="宋体" w:eastAsia="仿宋_GB2312" w:cs="仿宋_GB2312"/>
          <w:i w:val="0"/>
          <w:iCs w:val="0"/>
          <w:caps w:val="0"/>
          <w:color w:val="000000"/>
          <w:spacing w:val="0"/>
          <w:sz w:val="32"/>
          <w:szCs w:val="32"/>
          <w:shd w:val="clear" w:fill="FFFFFF"/>
          <w:lang w:eastAsia="zh-CN"/>
        </w:rPr>
        <w:t>所有承办的</w:t>
      </w:r>
      <w:r>
        <w:rPr>
          <w:rFonts w:hint="eastAsia" w:ascii="仿宋_GB2312" w:hAnsi="宋体" w:eastAsia="仿宋_GB2312" w:cs="仿宋_GB2312"/>
          <w:i w:val="0"/>
          <w:iCs w:val="0"/>
          <w:caps w:val="0"/>
          <w:color w:val="000000"/>
          <w:spacing w:val="0"/>
          <w:sz w:val="32"/>
          <w:szCs w:val="32"/>
          <w:shd w:val="clear" w:fill="FFFFFF"/>
          <w:lang w:val="en-US" w:eastAsia="zh-CN"/>
        </w:rPr>
        <w:t>人大代表建议和</w:t>
      </w:r>
      <w:r>
        <w:rPr>
          <w:rFonts w:ascii="仿宋_GB2312" w:hAnsi="宋体" w:eastAsia="仿宋_GB2312" w:cs="仿宋_GB2312"/>
          <w:i w:val="0"/>
          <w:iCs w:val="0"/>
          <w:caps w:val="0"/>
          <w:color w:val="000000"/>
          <w:spacing w:val="0"/>
          <w:sz w:val="32"/>
          <w:szCs w:val="32"/>
          <w:shd w:val="clear" w:fill="FFFFFF"/>
          <w:lang w:eastAsia="zh-CN"/>
        </w:rPr>
        <w:t>政协提案均在规定的答复时限内答复</w:t>
      </w:r>
      <w:r>
        <w:rPr>
          <w:rFonts w:ascii="仿宋_GB2312" w:hAnsi="宋体" w:eastAsia="仿宋_GB2312" w:cs="仿宋_GB2312"/>
          <w:i w:val="0"/>
          <w:iCs w:val="0"/>
          <w:caps w:val="0"/>
          <w:color w:val="000000"/>
          <w:spacing w:val="0"/>
          <w:sz w:val="32"/>
          <w:szCs w:val="32"/>
          <w:shd w:val="clear" w:fill="FFFFFF"/>
          <w:lang w:eastAsia="zh-CN"/>
        </w:rPr>
        <w:t>完毕，相关结果已在区政府门户网站建议提案办理栏目进行公开</w:t>
      </w:r>
      <w:r>
        <w:rPr>
          <w:rFonts w:hint="eastAsia" w:ascii="仿宋_GB2312" w:hAnsi="宋体" w:eastAsia="仿宋_GB2312" w:cs="仿宋_GB2312"/>
          <w:i w:val="0"/>
          <w:iCs w:val="0"/>
          <w:caps w:val="0"/>
          <w:color w:val="000000"/>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kern w:val="2"/>
          <w:sz w:val="32"/>
          <w:szCs w:val="32"/>
          <w:lang w:val="en-US" w:eastAsia="zh-CN" w:bidi="ar-SA"/>
          <w14:textFill>
            <w14:solidFill>
              <w14:schemeClr w14:val="tx1"/>
            </w14:solidFill>
          </w14:textFill>
        </w:rPr>
        <w:t>四是政务公开工作创新情况：</w:t>
      </w:r>
      <w:r>
        <w:rPr>
          <w:rFonts w:hint="eastAsia" w:ascii="仿宋_GB2312" w:eastAsia="仿宋_GB2312"/>
          <w:color w:val="000000" w:themeColor="text1"/>
          <w:sz w:val="32"/>
          <w:szCs w:val="32"/>
          <w:lang w:val="en-US"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仿宋_GB2312" w:eastAsia="楷体_GB2312" w:cs="仿宋_GB2312"/>
          <w:color w:val="000000" w:themeColor="text1"/>
          <w:sz w:val="32"/>
          <w:szCs w:val="32"/>
          <w14:textFill>
            <w14:solidFill>
              <w14:schemeClr w14:val="tx1"/>
            </w14:solidFill>
          </w14:textFill>
        </w:rPr>
        <w:t>五是本行政机关政府信息公开工作年度报告数据统计需要说明的事项。</w:t>
      </w:r>
      <w:r>
        <w:rPr>
          <w:rFonts w:hint="eastAsia" w:ascii="仿宋_GB2312" w:hAnsi="仿宋_GB2312" w:eastAsia="仿宋_GB2312" w:cs="仿宋_GB2312"/>
          <w:sz w:val="32"/>
          <w:szCs w:val="32"/>
        </w:rPr>
        <w:t>本报告中所列数据的统计期限为2023年1月1日至2023年12月31日。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仿宋_GB2312" w:eastAsia="楷体_GB2312" w:cs="仿宋_GB2312"/>
          <w:color w:val="000000" w:themeColor="text1"/>
          <w:sz w:val="32"/>
          <w:szCs w:val="32"/>
          <w14:textFill>
            <w14:solidFill>
              <w14:schemeClr w14:val="tx1"/>
            </w14:solidFill>
          </w14:textFill>
        </w:rPr>
        <w:t>六是本行政机关认为需要报告的其他事项：</w:t>
      </w:r>
      <w:r>
        <w:rPr>
          <w:rFonts w:hint="eastAsia" w:ascii="仿宋_GB2312" w:hAnsi="仿宋_GB2312" w:eastAsia="仿宋_GB2312" w:cs="仿宋_GB2312"/>
          <w:color w:val="000000" w:themeColor="text1"/>
          <w:sz w:val="32"/>
          <w:szCs w:val="32"/>
          <w14:textFill>
            <w14:solidFill>
              <w14:schemeClr w14:val="tx1"/>
            </w14:solidFill>
          </w14:textFill>
        </w:rPr>
        <w:t>无</w:t>
      </w:r>
      <w:r>
        <w:rPr>
          <w:rFonts w:hint="eastAsia" w:ascii="仿宋_GB2312" w:hAnsi="仿宋_GB2312" w:eastAsia="仿宋_GB2312" w:cs="仿宋_GB2312"/>
          <w:sz w:val="32"/>
          <w:szCs w:val="32"/>
        </w:rPr>
        <w:t>。</w:t>
      </w:r>
    </w:p>
    <w:p>
      <w:pPr>
        <w:pStyle w:val="3"/>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楷体_GB2312" w:hAnsi="仿宋_GB2312" w:eastAsia="楷体_GB2312" w:cs="仿宋_GB2312"/>
          <w:color w:val="000000" w:themeColor="text1"/>
          <w:sz w:val="32"/>
          <w:szCs w:val="32"/>
          <w14:textFill>
            <w14:solidFill>
              <w14:schemeClr w14:val="tx1"/>
            </w14:solidFill>
          </w14:textFill>
        </w:rPr>
        <w:t>七是其他有关文件专门要求通过政府信息公开工作年度报告予以报告的事项：</w:t>
      </w:r>
      <w:r>
        <w:rPr>
          <w:rFonts w:hint="eastAsia" w:ascii="仿宋_GB2312" w:hAnsi="仿宋_GB2312" w:eastAsia="仿宋_GB2312" w:cs="仿宋_GB2312"/>
          <w:color w:val="000000" w:themeColor="text1"/>
          <w:sz w:val="32"/>
          <w:szCs w:val="32"/>
          <w14:textFill>
            <w14:solidFill>
              <w14:schemeClr w14:val="tx1"/>
            </w14:solidFill>
          </w14:textFill>
        </w:rPr>
        <w:t>无</w:t>
      </w:r>
      <w:r>
        <w:rPr>
          <w:rFonts w:hint="eastAsia" w:ascii="仿宋_GB2312" w:hAnsi="仿宋_GB2312" w:eastAsia="仿宋_GB2312" w:cs="仿宋_GB2312"/>
          <w:sz w:val="32"/>
          <w:szCs w:val="32"/>
        </w:rPr>
        <w:t>。</w:t>
      </w:r>
    </w:p>
    <w:p>
      <w:pPr>
        <w:pStyle w:val="3"/>
        <w:widowControl/>
        <w:spacing w:beforeAutospacing="0" w:afterAutospacing="0" w:line="560" w:lineRule="exact"/>
        <w:ind w:firstLine="640" w:firstLineChars="200"/>
        <w:jc w:val="both"/>
        <w:rPr>
          <w:rFonts w:ascii="仿宋_GB2312" w:hAnsi="仿宋_GB2312" w:eastAsia="仿宋_GB2312" w:cs="仿宋_GB2312"/>
          <w:sz w:val="32"/>
          <w:szCs w:val="32"/>
        </w:rPr>
      </w:pPr>
    </w:p>
    <w:p>
      <w:pPr>
        <w:pStyle w:val="3"/>
        <w:widowControl/>
        <w:spacing w:beforeAutospacing="0" w:afterAutospacing="0"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台儿庄区</w:t>
      </w:r>
      <w:r>
        <w:rPr>
          <w:rFonts w:ascii="仿宋_GB2312" w:hAnsi="仿宋_GB2312" w:eastAsia="仿宋_GB2312" w:cs="仿宋_GB2312"/>
          <w:sz w:val="32"/>
          <w:szCs w:val="32"/>
        </w:rPr>
        <w:t>综合行政执法局</w:t>
      </w:r>
    </w:p>
    <w:p>
      <w:pPr>
        <w:pStyle w:val="3"/>
        <w:widowControl/>
        <w:spacing w:beforeAutospacing="0" w:afterAutospacing="0" w:line="560" w:lineRule="exact"/>
        <w:ind w:right="480" w:firstLine="640" w:firstLineChars="200"/>
        <w:jc w:val="right"/>
        <w:rPr>
          <w:rFonts w:hint="eastAsia" w:ascii="黑体" w:hAnsi="宋体" w:eastAsia="黑体" w:cs="黑体"/>
          <w:color w:val="000000"/>
          <w:sz w:val="32"/>
          <w:szCs w:val="32"/>
        </w:rPr>
      </w:pPr>
      <w:r>
        <w:rPr>
          <w:rFonts w:ascii="仿宋_GB2312" w:hAnsi="仿宋_GB2312" w:eastAsia="仿宋_GB2312" w:cs="仿宋_GB2312"/>
          <w:sz w:val="32"/>
          <w:szCs w:val="32"/>
        </w:rPr>
        <w:t>2024年1月19</w:t>
      </w:r>
      <w:r>
        <w:rPr>
          <w:rFonts w:hint="eastAsia" w:ascii="仿宋_GB2312" w:hAnsi="仿宋_GB2312" w:eastAsia="仿宋_GB2312" w:cs="仿宋_GB2312"/>
          <w:sz w:val="32"/>
          <w:szCs w:val="32"/>
        </w:rPr>
        <w:t>日</w:t>
      </w:r>
    </w:p>
    <w:sectPr>
      <w:pgSz w:w="11906" w:h="16838"/>
      <w:pgMar w:top="1985"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F6F1BC-A4BF-418E-AD88-1494AD39E4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24368E8-B497-4ED9-B0EE-4CF4C7BE3A9F}"/>
  </w:font>
  <w:font w:name="仿宋_GB2312">
    <w:panose1 w:val="02010609030101010101"/>
    <w:charset w:val="86"/>
    <w:family w:val="modern"/>
    <w:pitch w:val="default"/>
    <w:sig w:usb0="00000001" w:usb1="080E0000" w:usb2="00000000" w:usb3="00000000" w:csb0="00040000" w:csb1="00000000"/>
    <w:embedRegular r:id="rId3" w:fontKey="{ECFB69C3-6DE7-437B-93A8-7C4F10336669}"/>
  </w:font>
  <w:font w:name="方正小标宋简体">
    <w:panose1 w:val="02000000000000000000"/>
    <w:charset w:val="86"/>
    <w:family w:val="script"/>
    <w:pitch w:val="default"/>
    <w:sig w:usb0="00000001" w:usb1="080E0000" w:usb2="00000000" w:usb3="00000000" w:csb0="00040000" w:csb1="00000000"/>
    <w:embedRegular r:id="rId4" w:fontKey="{F893E52E-DDAE-42FA-8108-9380B4D56218}"/>
  </w:font>
  <w:font w:name="新宋体">
    <w:panose1 w:val="02010609030101010101"/>
    <w:charset w:val="86"/>
    <w:family w:val="modern"/>
    <w:pitch w:val="default"/>
    <w:sig w:usb0="00000203" w:usb1="288F0000" w:usb2="00000006" w:usb3="00000000" w:csb0="00040001" w:csb1="00000000"/>
    <w:embedRegular r:id="rId5" w:fontKey="{A0061F87-172F-4A60-83AD-D82EB7F597C6}"/>
  </w:font>
  <w:font w:name="微软雅黑">
    <w:panose1 w:val="020B0503020204020204"/>
    <w:charset w:val="86"/>
    <w:family w:val="swiss"/>
    <w:pitch w:val="default"/>
    <w:sig w:usb0="80000287" w:usb1="2ACF3C50" w:usb2="00000016" w:usb3="00000000" w:csb0="0004001F" w:csb1="00000000"/>
    <w:embedRegular r:id="rId6" w:fontKey="{FF4336CC-8E05-4F12-BD0D-C2D5EB849BBE}"/>
  </w:font>
  <w:font w:name="楷体">
    <w:panose1 w:val="02010609060101010101"/>
    <w:charset w:val="86"/>
    <w:family w:val="modern"/>
    <w:pitch w:val="default"/>
    <w:sig w:usb0="800002BF" w:usb1="38CF7CFA" w:usb2="00000016" w:usb3="00000000" w:csb0="00040001" w:csb1="00000000"/>
    <w:embedRegular r:id="rId7" w:fontKey="{44E3A58F-35C7-4046-9D4D-6FE6A0B14187}"/>
  </w:font>
  <w:font w:name="仿宋">
    <w:panose1 w:val="02010609060101010101"/>
    <w:charset w:val="86"/>
    <w:family w:val="modern"/>
    <w:pitch w:val="default"/>
    <w:sig w:usb0="800002BF" w:usb1="38CF7CFA" w:usb2="00000016" w:usb3="00000000" w:csb0="00040001" w:csb1="00000000"/>
    <w:embedRegular r:id="rId8" w:fontKey="{449EDA14-FDAC-4382-9B6C-020DAFBB2023}"/>
  </w:font>
  <w:font w:name="楷体_GB2312">
    <w:altName w:val="楷体"/>
    <w:panose1 w:val="02010609030101010101"/>
    <w:charset w:val="86"/>
    <w:family w:val="modern"/>
    <w:pitch w:val="default"/>
    <w:sig w:usb0="00000000" w:usb1="00000000" w:usb2="00000010" w:usb3="00000000" w:csb0="00040000" w:csb1="00000000"/>
    <w:embedRegular r:id="rId9" w:fontKey="{D813139F-0CA7-4A84-9819-C591CE73DC31}"/>
  </w:font>
  <w:font w:name="sans-serif">
    <w:altName w:val="Segoe Print"/>
    <w:panose1 w:val="00000000000000000000"/>
    <w:charset w:val="00"/>
    <w:family w:val="auto"/>
    <w:pitch w:val="default"/>
    <w:sig w:usb0="00000000" w:usb1="00000000" w:usb2="00000000" w:usb3="00000000" w:csb0="00000000" w:csb1="00000000"/>
    <w:embedRegular r:id="rId10" w:fontKey="{BEA085B4-63EC-42F2-A151-A32AF006FA78}"/>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OWVjZjBiMTg5NjdmMzkyMjM1OGFlMjU5MzUwOGMifQ=="/>
  </w:docVars>
  <w:rsids>
    <w:rsidRoot w:val="0E1E1340"/>
    <w:rsid w:val="000A7663"/>
    <w:rsid w:val="005B1915"/>
    <w:rsid w:val="0098642E"/>
    <w:rsid w:val="03B739A6"/>
    <w:rsid w:val="094E3677"/>
    <w:rsid w:val="0B197724"/>
    <w:rsid w:val="0E1E1340"/>
    <w:rsid w:val="1AB6219F"/>
    <w:rsid w:val="1F613473"/>
    <w:rsid w:val="2CF658A4"/>
    <w:rsid w:val="369167D9"/>
    <w:rsid w:val="44F7014F"/>
    <w:rsid w:val="48BB76E5"/>
    <w:rsid w:val="50A13412"/>
    <w:rsid w:val="5647080A"/>
    <w:rsid w:val="5E424B3B"/>
    <w:rsid w:val="62A10441"/>
    <w:rsid w:val="639C7FAE"/>
    <w:rsid w:val="696372B1"/>
    <w:rsid w:val="6B036F9E"/>
    <w:rsid w:val="6E5E01D2"/>
    <w:rsid w:val="720C1885"/>
    <w:rsid w:val="775B2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8"/>
    <w:autoRedefine/>
    <w:qFormat/>
    <w:uiPriority w:val="0"/>
    <w:pPr>
      <w:ind w:firstLine="645"/>
    </w:pPr>
    <w:rPr>
      <w:rFonts w:ascii="仿宋_GB2312" w:hAnsi="Times New Roman" w:eastAsia="仿宋_GB2312" w:cs="Times New Roman"/>
      <w:sz w:val="32"/>
      <w:szCs w:val="20"/>
    </w:rPr>
  </w:style>
  <w:style w:type="paragraph" w:styleId="3">
    <w:name w:val="Normal (Web)"/>
    <w:basedOn w:val="1"/>
    <w:autoRedefine/>
    <w:qFormat/>
    <w:uiPriority w:val="0"/>
    <w:pPr>
      <w:spacing w:beforeAutospacing="1" w:afterAutospacing="1"/>
      <w:jc w:val="left"/>
    </w:pPr>
    <w:rPr>
      <w:rFonts w:cs="Times New Roman"/>
      <w:kern w:val="0"/>
      <w:sz w:val="24"/>
    </w:r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 w:type="character" w:customStyle="1" w:styleId="8">
    <w:name w:val="正文文本缩进 字符"/>
    <w:basedOn w:val="5"/>
    <w:link w:val="2"/>
    <w:autoRedefine/>
    <w:qFormat/>
    <w:uiPriority w:val="0"/>
    <w:rPr>
      <w:rFonts w:ascii="仿宋_GB2312" w:eastAsia="仿宋_GB2312"/>
      <w:kern w:val="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407</Words>
  <Characters>2323</Characters>
  <Lines>19</Lines>
  <Paragraphs>5</Paragraphs>
  <TotalTime>0</TotalTime>
  <ScaleCrop>false</ScaleCrop>
  <LinksUpToDate>false</LinksUpToDate>
  <CharactersWithSpaces>2725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2024-01-19T01:47:00Z</dcterms:created>
  <dc:creator>风吹九里</dc:creator>
  <cp:lastModifiedBy>风吹九里</cp:lastModifiedBy>
  <dcterms:modified xsi:type="dcterms:W3CDTF">2024-02-21T02:46:48Z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314BC8326CBB4538893DB17ED3197538_13</vt:lpwstr>
  </property>
</Properties>
</file>