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微软雅黑" w:hAnsi="微软雅黑" w:eastAsia="微软雅黑" w:cs="微软雅黑"/>
          <w:color w:val="auto"/>
          <w:sz w:val="44"/>
          <w:szCs w:val="44"/>
          <w:lang w:val="en-US" w:eastAsia="zh-CN"/>
        </w:rPr>
      </w:pPr>
      <w:r>
        <w:rPr>
          <w:rFonts w:hint="eastAsia" w:ascii="微软雅黑" w:hAnsi="微软雅黑" w:eastAsia="微软雅黑" w:cs="微软雅黑"/>
          <w:color w:val="auto"/>
          <w:sz w:val="44"/>
          <w:szCs w:val="44"/>
        </w:rPr>
        <w:t>台儿庄</w:t>
      </w:r>
      <w:r>
        <w:rPr>
          <w:rFonts w:hint="eastAsia" w:ascii="微软雅黑" w:hAnsi="微软雅黑" w:eastAsia="微软雅黑" w:cs="微软雅黑"/>
          <w:color w:val="auto"/>
          <w:sz w:val="44"/>
          <w:szCs w:val="44"/>
          <w:lang w:val="en-US" w:eastAsia="zh-CN"/>
        </w:rPr>
        <w:t>区行政审批服务局</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微软雅黑" w:hAnsi="微软雅黑" w:eastAsia="微软雅黑" w:cs="微软雅黑"/>
          <w:color w:val="auto"/>
          <w:sz w:val="44"/>
          <w:szCs w:val="44"/>
        </w:rPr>
      </w:pPr>
      <w:r>
        <w:rPr>
          <w:rFonts w:hint="eastAsia" w:ascii="微软雅黑" w:hAnsi="微软雅黑" w:eastAsia="微软雅黑" w:cs="微软雅黑"/>
          <w:color w:val="auto"/>
          <w:sz w:val="44"/>
          <w:szCs w:val="44"/>
        </w:rPr>
        <w:t>202</w:t>
      </w:r>
      <w:r>
        <w:rPr>
          <w:rFonts w:hint="eastAsia" w:ascii="微软雅黑" w:hAnsi="微软雅黑" w:eastAsia="微软雅黑" w:cs="微软雅黑"/>
          <w:color w:val="auto"/>
          <w:sz w:val="44"/>
          <w:szCs w:val="44"/>
          <w:lang w:val="en-US" w:eastAsia="zh-CN"/>
        </w:rPr>
        <w:t>2</w:t>
      </w:r>
      <w:r>
        <w:rPr>
          <w:rFonts w:hint="eastAsia" w:ascii="微软雅黑" w:hAnsi="微软雅黑" w:eastAsia="微软雅黑" w:cs="微软雅黑"/>
          <w:color w:val="auto"/>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宋体" w:eastAsia="仿宋_GB2312" w:cs="仿宋_GB2312"/>
          <w:i w:val="0"/>
          <w:caps w:val="0"/>
          <w:color w:val="auto"/>
          <w:spacing w:val="0"/>
          <w:sz w:val="32"/>
          <w:szCs w:val="32"/>
        </w:rPr>
      </w:pPr>
      <w:r>
        <w:rPr>
          <w:rFonts w:ascii="仿宋_GB2312" w:hAnsi="宋体" w:eastAsia="仿宋_GB2312" w:cs="仿宋_GB2312"/>
          <w:i w:val="0"/>
          <w:caps w:val="0"/>
          <w:color w:val="auto"/>
          <w:spacing w:val="0"/>
          <w:sz w:val="32"/>
          <w:szCs w:val="32"/>
        </w:rPr>
        <w:t>本年度报告根据《中华人民共和国政府信息公开条例》等有关规定编制而成。本报告由总体情况、主动公开政府信息情况、收到和处理政府信息公开申请情况、政府信息公开行政复议、行政诉讼情况、存在的主要问题及改进情况，其他需要报告的事项等</w:t>
      </w:r>
      <w:r>
        <w:rPr>
          <w:rFonts w:hint="eastAsia" w:ascii="仿宋_GB2312" w:hAnsi="宋体" w:eastAsia="仿宋_GB2312" w:cs="仿宋_GB2312"/>
          <w:i w:val="0"/>
          <w:caps w:val="0"/>
          <w:color w:val="auto"/>
          <w:spacing w:val="0"/>
          <w:sz w:val="32"/>
          <w:szCs w:val="32"/>
        </w:rPr>
        <w:t>6个部分组成。本报告中所列数据的统计期限自202</w:t>
      </w:r>
      <w:r>
        <w:rPr>
          <w:rFonts w:hint="eastAsia" w:ascii="仿宋_GB2312" w:hAnsi="宋体" w:eastAsia="仿宋_GB2312" w:cs="仿宋_GB2312"/>
          <w:i w:val="0"/>
          <w:caps w:val="0"/>
          <w:color w:val="auto"/>
          <w:spacing w:val="0"/>
          <w:sz w:val="32"/>
          <w:szCs w:val="32"/>
          <w:lang w:val="en-US" w:eastAsia="zh-CN"/>
        </w:rPr>
        <w:t>2</w:t>
      </w:r>
      <w:r>
        <w:rPr>
          <w:rFonts w:hint="eastAsia" w:ascii="仿宋_GB2312" w:hAnsi="宋体" w:eastAsia="仿宋_GB2312" w:cs="仿宋_GB2312"/>
          <w:i w:val="0"/>
          <w:caps w:val="0"/>
          <w:color w:val="auto"/>
          <w:spacing w:val="0"/>
          <w:sz w:val="32"/>
          <w:szCs w:val="32"/>
        </w:rPr>
        <w:t>年1月1日起至202</w:t>
      </w:r>
      <w:r>
        <w:rPr>
          <w:rFonts w:hint="eastAsia" w:ascii="仿宋_GB2312" w:hAnsi="宋体" w:eastAsia="仿宋_GB2312" w:cs="仿宋_GB2312"/>
          <w:i w:val="0"/>
          <w:caps w:val="0"/>
          <w:color w:val="auto"/>
          <w:spacing w:val="0"/>
          <w:sz w:val="32"/>
          <w:szCs w:val="32"/>
          <w:lang w:val="en-US" w:eastAsia="zh-CN"/>
        </w:rPr>
        <w:t>2</w:t>
      </w:r>
      <w:r>
        <w:rPr>
          <w:rFonts w:hint="eastAsia" w:ascii="仿宋_GB2312" w:hAnsi="宋体" w:eastAsia="仿宋_GB2312" w:cs="仿宋_GB2312"/>
          <w:i w:val="0"/>
          <w:caps w:val="0"/>
          <w:color w:val="auto"/>
          <w:spacing w:val="0"/>
          <w:sz w:val="32"/>
          <w:szCs w:val="32"/>
        </w:rPr>
        <w:t>年12月31日止。</w:t>
      </w:r>
      <w:r>
        <w:rPr>
          <w:rFonts w:ascii="仿宋_GB2312" w:hAnsi="宋体" w:eastAsia="仿宋_GB2312" w:cs="仿宋_GB2312"/>
          <w:i w:val="0"/>
          <w:iCs w:val="0"/>
          <w:caps w:val="0"/>
          <w:color w:val="000000"/>
          <w:spacing w:val="0"/>
          <w:sz w:val="32"/>
          <w:szCs w:val="32"/>
          <w:shd w:val="clear" w:fill="FFFFFF"/>
        </w:rPr>
        <w:t>报告的电子版可在“台儿庄区政府门户网站”下载。如对本报告有疑问，请与台</w:t>
      </w:r>
      <w:bookmarkStart w:id="10" w:name="_GoBack"/>
      <w:bookmarkEnd w:id="10"/>
      <w:r>
        <w:rPr>
          <w:rFonts w:ascii="仿宋_GB2312" w:hAnsi="宋体" w:eastAsia="仿宋_GB2312" w:cs="仿宋_GB2312"/>
          <w:i w:val="0"/>
          <w:iCs w:val="0"/>
          <w:caps w:val="0"/>
          <w:color w:val="000000"/>
          <w:spacing w:val="0"/>
          <w:sz w:val="32"/>
          <w:szCs w:val="32"/>
          <w:shd w:val="clear" w:fill="FFFFFF"/>
        </w:rPr>
        <w:t>儿庄区</w:t>
      </w:r>
      <w:r>
        <w:rPr>
          <w:rFonts w:hint="eastAsia" w:ascii="仿宋_GB2312" w:hAnsi="宋体" w:eastAsia="仿宋_GB2312" w:cs="仿宋_GB2312"/>
          <w:i w:val="0"/>
          <w:iCs w:val="0"/>
          <w:caps w:val="0"/>
          <w:color w:val="000000"/>
          <w:spacing w:val="0"/>
          <w:sz w:val="32"/>
          <w:szCs w:val="32"/>
          <w:shd w:val="clear" w:fill="FFFFFF"/>
          <w:lang w:eastAsia="zh-CN"/>
        </w:rPr>
        <w:t>行政审批服务局联系</w:t>
      </w:r>
      <w:r>
        <w:rPr>
          <w:rFonts w:hint="eastAsia" w:ascii="仿宋_GB2312" w:hAnsi="宋体" w:eastAsia="仿宋_GB2312" w:cs="仿宋_GB2312"/>
          <w:i w:val="0"/>
          <w:iCs w:val="0"/>
          <w:caps w:val="0"/>
          <w:color w:val="000000"/>
          <w:spacing w:val="0"/>
          <w:sz w:val="32"/>
          <w:szCs w:val="32"/>
          <w:shd w:val="clear" w:fill="FFFFFF"/>
        </w:rPr>
        <w:t>(地</w:t>
      </w:r>
      <w:r>
        <w:rPr>
          <w:rFonts w:hint="eastAsia" w:ascii="仿宋_GB2312" w:hAnsi="宋体" w:eastAsia="仿宋_GB2312" w:cs="仿宋_GB2312"/>
          <w:i w:val="0"/>
          <w:caps w:val="0"/>
          <w:color w:val="auto"/>
          <w:spacing w:val="0"/>
          <w:sz w:val="32"/>
          <w:szCs w:val="32"/>
        </w:rPr>
        <w:t>址:枣庄市台儿庄区台中路1506号；</w:t>
      </w:r>
      <w:r>
        <w:rPr>
          <w:rFonts w:hint="eastAsia" w:ascii="仿宋_GB2312" w:hAnsi="宋体" w:eastAsia="仿宋_GB2312" w:cs="仿宋_GB2312"/>
          <w:i w:val="0"/>
          <w:iCs w:val="0"/>
          <w:caps w:val="0"/>
          <w:color w:val="000000"/>
          <w:spacing w:val="0"/>
          <w:sz w:val="32"/>
          <w:szCs w:val="32"/>
          <w:shd w:val="clear" w:fill="FFFFFF"/>
        </w:rPr>
        <w:t>电话：0632—661</w:t>
      </w:r>
      <w:r>
        <w:rPr>
          <w:rFonts w:hint="eastAsia" w:ascii="仿宋_GB2312" w:hAnsi="宋体" w:eastAsia="仿宋_GB2312" w:cs="仿宋_GB2312"/>
          <w:i w:val="0"/>
          <w:iCs w:val="0"/>
          <w:caps w:val="0"/>
          <w:color w:val="000000"/>
          <w:spacing w:val="0"/>
          <w:sz w:val="32"/>
          <w:szCs w:val="32"/>
          <w:shd w:val="clear" w:fill="FFFFFF"/>
          <w:lang w:val="en-US" w:eastAsia="zh-CN"/>
        </w:rPr>
        <w:t>6110</w:t>
      </w:r>
      <w:r>
        <w:rPr>
          <w:rFonts w:hint="eastAsia" w:ascii="仿宋_GB2312" w:hAnsi="宋体" w:eastAsia="仿宋_GB2312" w:cs="仿宋_GB2312"/>
          <w:i w:val="0"/>
          <w:iCs w:val="0"/>
          <w:caps w:val="0"/>
          <w:color w:val="000000"/>
          <w:spacing w:val="0"/>
          <w:sz w:val="32"/>
          <w:szCs w:val="32"/>
          <w:shd w:val="clear" w:fill="FFFFFF"/>
        </w:rPr>
        <w:t>；邮箱：tez</w:t>
      </w:r>
      <w:r>
        <w:rPr>
          <w:rFonts w:hint="eastAsia" w:ascii="仿宋_GB2312" w:hAnsi="宋体" w:eastAsia="仿宋_GB2312" w:cs="仿宋_GB2312"/>
          <w:i w:val="0"/>
          <w:iCs w:val="0"/>
          <w:caps w:val="0"/>
          <w:color w:val="000000"/>
          <w:spacing w:val="0"/>
          <w:sz w:val="32"/>
          <w:szCs w:val="32"/>
          <w:shd w:val="clear" w:fill="FFFFFF"/>
          <w:lang w:val="en-US" w:eastAsia="zh-CN"/>
        </w:rPr>
        <w:t>qzgb</w:t>
      </w:r>
      <w:r>
        <w:rPr>
          <w:rFonts w:hint="eastAsia" w:ascii="仿宋_GB2312" w:hAnsi="宋体" w:eastAsia="仿宋_GB2312" w:cs="仿宋_GB2312"/>
          <w:i w:val="0"/>
          <w:iCs w:val="0"/>
          <w:caps w:val="0"/>
          <w:color w:val="000000"/>
          <w:spacing w:val="0"/>
          <w:sz w:val="32"/>
          <w:szCs w:val="32"/>
          <w:shd w:val="clear" w:fill="FFFFFF"/>
        </w:rPr>
        <w:t>@zz.shandong.cn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outlineLvl w:val="9"/>
        <w:rPr>
          <w:rFonts w:ascii="微软雅黑" w:hAnsi="微软雅黑" w:eastAsia="微软雅黑" w:cs="微软雅黑"/>
          <w:i w:val="0"/>
          <w:caps w:val="0"/>
          <w:color w:val="auto"/>
          <w:spacing w:val="0"/>
          <w:sz w:val="32"/>
          <w:szCs w:val="32"/>
        </w:rPr>
      </w:pPr>
      <w:r>
        <w:rPr>
          <w:rFonts w:ascii="黑体" w:hAnsi="宋体" w:eastAsia="黑体" w:cs="黑体"/>
          <w:i w:val="0"/>
          <w:caps w:val="0"/>
          <w:color w:val="auto"/>
          <w:spacing w:val="0"/>
          <w:kern w:val="0"/>
          <w:sz w:val="32"/>
          <w:szCs w:val="32"/>
          <w:shd w:val="clear" w:fill="FFFFFF"/>
          <w:lang w:val="en-US" w:eastAsia="zh-CN" w:bidi="ar"/>
        </w:rPr>
        <w:t>一、总体情况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left"/>
        <w:textAlignment w:val="auto"/>
        <w:outlineLvl w:val="9"/>
        <w:rPr>
          <w:rFonts w:hint="eastAsia" w:ascii="微软雅黑" w:hAnsi="微软雅黑" w:eastAsia="微软雅黑" w:cs="微软雅黑"/>
          <w:i w:val="0"/>
          <w:caps w:val="0"/>
          <w:color w:val="auto"/>
          <w:spacing w:val="0"/>
          <w:sz w:val="32"/>
          <w:szCs w:val="32"/>
        </w:rPr>
      </w:pPr>
      <w:r>
        <w:rPr>
          <w:rFonts w:ascii="仿宋_GB2312" w:hAnsi="微软雅黑" w:eastAsia="仿宋_GB2312" w:cs="仿宋_GB2312"/>
          <w:i w:val="0"/>
          <w:caps w:val="0"/>
          <w:color w:val="auto"/>
          <w:spacing w:val="0"/>
          <w:kern w:val="0"/>
          <w:sz w:val="32"/>
          <w:szCs w:val="32"/>
          <w:shd w:val="clear" w:fill="FFFFFF"/>
          <w:lang w:val="en-US" w:eastAsia="zh-CN" w:bidi="ar"/>
        </w:rPr>
        <w:t>20</w:t>
      </w:r>
      <w:r>
        <w:rPr>
          <w:rFonts w:hint="eastAsia" w:ascii="仿宋_GB2312" w:hAnsi="微软雅黑" w:eastAsia="仿宋_GB2312" w:cs="仿宋_GB2312"/>
          <w:i w:val="0"/>
          <w:caps w:val="0"/>
          <w:color w:val="auto"/>
          <w:spacing w:val="0"/>
          <w:kern w:val="0"/>
          <w:sz w:val="32"/>
          <w:szCs w:val="32"/>
          <w:shd w:val="clear" w:fill="FFFFFF"/>
          <w:lang w:val="en-US" w:eastAsia="zh-CN" w:bidi="ar"/>
        </w:rPr>
        <w:t>22年，本单位按照区政府的总体部署和工作要求，深入贯彻实施《中华人民共和国政府信息公开条例》，以着力满足群众获取、了解政府信息的需求为目标，进一步健全组织机构，完善信息公开机制，强化各项工作措施，扎实推进政府信息公开工作，有效保障了公民的知情权、参与权和监督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34"/>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楷体_GB2312" w:hAnsi="宋体" w:eastAsia="楷体_GB2312" w:cs="楷体_GB2312"/>
          <w:i w:val="0"/>
          <w:caps w:val="0"/>
          <w:color w:val="auto"/>
          <w:spacing w:val="0"/>
          <w:sz w:val="32"/>
          <w:szCs w:val="32"/>
          <w:shd w:val="clear" w:fill="FFFFFF"/>
          <w:lang w:val="en-US" w:eastAsia="zh-CN"/>
        </w:rPr>
        <w:t>（一）</w:t>
      </w:r>
      <w:r>
        <w:rPr>
          <w:rFonts w:ascii="楷体_GB2312" w:hAnsi="宋体" w:eastAsia="楷体_GB2312" w:cs="楷体_GB2312"/>
          <w:i w:val="0"/>
          <w:caps w:val="0"/>
          <w:color w:val="auto"/>
          <w:spacing w:val="0"/>
          <w:sz w:val="32"/>
          <w:szCs w:val="32"/>
          <w:shd w:val="clear" w:fill="FFFFFF"/>
          <w:lang w:val="en-US" w:eastAsia="zh-CN"/>
        </w:rPr>
        <w:t>主动公开情况。</w:t>
      </w:r>
      <w:r>
        <w:rPr>
          <w:rFonts w:hint="eastAsia" w:ascii="仿宋_GB2312" w:hAnsi="微软雅黑" w:eastAsia="仿宋_GB2312" w:cs="仿宋_GB2312"/>
          <w:i w:val="0"/>
          <w:caps w:val="0"/>
          <w:color w:val="auto"/>
          <w:spacing w:val="0"/>
          <w:kern w:val="0"/>
          <w:sz w:val="32"/>
          <w:szCs w:val="32"/>
          <w:shd w:val="clear" w:fill="FFFFFF"/>
          <w:lang w:val="en-US" w:eastAsia="zh-CN" w:bidi="ar"/>
        </w:rPr>
        <w:t>一是及时发布有关政策信息。通过区政府信息公开网站，结合审批服务局实际，及时主动公开有关审批服务改革政策信息。二是梳理编制权责清单及政务服务事项清单，实现政务服务信息集中主动公开。对事项名称、申请材料、办理时限等进行梳理，形成标准化规范化的办事指南并予以公开。</w:t>
      </w:r>
      <w:r>
        <w:rPr>
          <w:rFonts w:hint="eastAsia" w:ascii="仿宋_GB2312" w:hAnsi="仿宋_GB2312" w:eastAsia="仿宋_GB2312" w:cs="仿宋_GB2312"/>
          <w:b w:val="0"/>
          <w:i w:val="0"/>
          <w:caps w:val="0"/>
          <w:color w:val="auto"/>
          <w:spacing w:val="0"/>
          <w:sz w:val="32"/>
          <w:szCs w:val="32"/>
          <w:shd w:val="clear" w:fill="FFFFFF"/>
        </w:rPr>
        <w:t>20</w:t>
      </w:r>
      <w:r>
        <w:rPr>
          <w:rFonts w:hint="eastAsia" w:ascii="仿宋_GB2312" w:hAnsi="仿宋_GB2312" w:eastAsia="仿宋_GB2312" w:cs="仿宋_GB2312"/>
          <w:b w:val="0"/>
          <w:i w:val="0"/>
          <w:caps w:val="0"/>
          <w:color w:val="auto"/>
          <w:spacing w:val="0"/>
          <w:sz w:val="32"/>
          <w:szCs w:val="32"/>
          <w:shd w:val="clear" w:fill="FFFFFF"/>
          <w:lang w:val="en-US" w:eastAsia="zh-CN"/>
        </w:rPr>
        <w:t>22</w:t>
      </w:r>
      <w:r>
        <w:rPr>
          <w:rFonts w:hint="eastAsia" w:ascii="仿宋_GB2312" w:hAnsi="仿宋_GB2312" w:eastAsia="仿宋_GB2312" w:cs="仿宋_GB2312"/>
          <w:b w:val="0"/>
          <w:i w:val="0"/>
          <w:caps w:val="0"/>
          <w:color w:val="auto"/>
          <w:spacing w:val="0"/>
          <w:sz w:val="32"/>
          <w:szCs w:val="32"/>
          <w:shd w:val="clear" w:fill="FFFFFF"/>
        </w:rPr>
        <w:t>年度累计上报工作动态信息</w:t>
      </w:r>
      <w:r>
        <w:rPr>
          <w:rFonts w:hint="eastAsia" w:ascii="仿宋_GB2312" w:hAnsi="仿宋_GB2312" w:eastAsia="仿宋_GB2312" w:cs="仿宋_GB2312"/>
          <w:b w:val="0"/>
          <w:i w:val="0"/>
          <w:caps w:val="0"/>
          <w:color w:val="auto"/>
          <w:spacing w:val="0"/>
          <w:sz w:val="32"/>
          <w:szCs w:val="32"/>
          <w:shd w:val="clear" w:fill="FFFFFF"/>
          <w:lang w:val="en-US" w:eastAsia="zh-CN"/>
        </w:rPr>
        <w:t>148</w:t>
      </w:r>
      <w:r>
        <w:rPr>
          <w:rFonts w:hint="eastAsia" w:ascii="仿宋_GB2312" w:hAnsi="仿宋_GB2312" w:eastAsia="仿宋_GB2312" w:cs="仿宋_GB2312"/>
          <w:b w:val="0"/>
          <w:i w:val="0"/>
          <w:caps w:val="0"/>
          <w:color w:val="auto"/>
          <w:spacing w:val="0"/>
          <w:sz w:val="32"/>
          <w:szCs w:val="32"/>
          <w:shd w:val="clear" w:fill="FFFFFF"/>
        </w:rPr>
        <w:t>篇，更新微信公众号信息</w:t>
      </w:r>
      <w:r>
        <w:rPr>
          <w:rFonts w:hint="eastAsia" w:ascii="仿宋_GB2312" w:hAnsi="仿宋_GB2312" w:eastAsia="仿宋_GB2312" w:cs="仿宋_GB2312"/>
          <w:b w:val="0"/>
          <w:i w:val="0"/>
          <w:caps w:val="0"/>
          <w:color w:val="auto"/>
          <w:spacing w:val="0"/>
          <w:sz w:val="32"/>
          <w:szCs w:val="32"/>
          <w:shd w:val="clear" w:fill="FFFFFF"/>
          <w:lang w:val="en-US" w:eastAsia="zh-CN"/>
        </w:rPr>
        <w:t>311</w:t>
      </w:r>
      <w:r>
        <w:rPr>
          <w:rFonts w:hint="eastAsia" w:ascii="仿宋_GB2312" w:hAnsi="仿宋_GB2312" w:eastAsia="仿宋_GB2312" w:cs="仿宋_GB2312"/>
          <w:b w:val="0"/>
          <w:i w:val="0"/>
          <w:caps w:val="0"/>
          <w:color w:val="auto"/>
          <w:spacing w:val="0"/>
          <w:sz w:val="32"/>
          <w:szCs w:val="32"/>
          <w:shd w:val="clear" w:fill="FFFFFF"/>
        </w:rPr>
        <w:t>篇、公示行政许可统计信息</w:t>
      </w:r>
      <w:r>
        <w:rPr>
          <w:rFonts w:hint="eastAsia" w:ascii="仿宋_GB2312" w:hAnsi="仿宋_GB2312" w:eastAsia="仿宋_GB2312" w:cs="仿宋_GB2312"/>
          <w:b w:val="0"/>
          <w:i w:val="0"/>
          <w:caps w:val="0"/>
          <w:color w:val="auto"/>
          <w:spacing w:val="0"/>
          <w:sz w:val="32"/>
          <w:szCs w:val="32"/>
          <w:shd w:val="clear" w:fill="FFFFFF"/>
          <w:lang w:val="en-US" w:eastAsia="zh-CN"/>
        </w:rPr>
        <w:t>76</w:t>
      </w:r>
      <w:r>
        <w:rPr>
          <w:rFonts w:hint="eastAsia" w:ascii="仿宋_GB2312" w:hAnsi="仿宋_GB2312" w:eastAsia="仿宋_GB2312" w:cs="仿宋_GB2312"/>
          <w:b w:val="0"/>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。区行政审批服务局没有收到政府信息公开申请的行政复议和提起行政诉讼，没有相关责任追究情况发生。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34"/>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rPr>
      </w:pPr>
      <w:r>
        <w:rPr>
          <w:rFonts w:ascii="楷体_GB2312" w:hAnsi="宋体" w:eastAsia="楷体_GB2312" w:cs="楷体_GB2312"/>
          <w:i w:val="0"/>
          <w:caps w:val="0"/>
          <w:color w:val="auto"/>
          <w:spacing w:val="0"/>
          <w:sz w:val="32"/>
          <w:szCs w:val="32"/>
          <w:shd w:val="clear" w:fill="FFFFFF"/>
        </w:rPr>
        <w:t>（二）</w:t>
      </w:r>
      <w:r>
        <w:rPr>
          <w:rFonts w:ascii="楷体_GB2312" w:hAnsi="宋体" w:eastAsia="楷体_GB2312" w:cs="楷体_GB2312"/>
          <w:b w:val="0"/>
          <w:bCs w:val="0"/>
          <w:i w:val="0"/>
          <w:caps w:val="0"/>
          <w:color w:val="auto"/>
          <w:spacing w:val="0"/>
          <w:sz w:val="32"/>
          <w:szCs w:val="32"/>
          <w:shd w:val="clear" w:fill="FFFFFF"/>
        </w:rPr>
        <w:t>依申请公开情况。</w:t>
      </w:r>
      <w:r>
        <w:rPr>
          <w:rFonts w:ascii="仿宋_GB2312" w:hAnsi="宋体" w:eastAsia="仿宋_GB2312" w:cs="仿宋_GB2312"/>
          <w:b w:val="0"/>
          <w:bCs w:val="0"/>
          <w:i w:val="0"/>
          <w:caps w:val="0"/>
          <w:color w:val="auto"/>
          <w:spacing w:val="0"/>
          <w:sz w:val="32"/>
          <w:szCs w:val="32"/>
          <w:shd w:val="clear" w:fill="FFFFFF"/>
        </w:rPr>
        <w:t>做好依申请公开工作，依法保障民众的知情权、参与权、表达权、监督权。</w:t>
      </w:r>
      <w:r>
        <w:rPr>
          <w:rFonts w:hint="eastAsia" w:ascii="仿宋_GB2312" w:hAnsi="宋体" w:eastAsia="仿宋_GB2312" w:cs="仿宋_GB2312"/>
          <w:b w:val="0"/>
          <w:bCs w:val="0"/>
          <w:i w:val="0"/>
          <w:caps w:val="0"/>
          <w:color w:val="auto"/>
          <w:spacing w:val="0"/>
          <w:sz w:val="32"/>
          <w:szCs w:val="32"/>
          <w:shd w:val="clear" w:fill="FFFFFF"/>
        </w:rPr>
        <w:t>202</w:t>
      </w:r>
      <w:r>
        <w:rPr>
          <w:rFonts w:hint="eastAsia" w:ascii="仿宋_GB2312" w:hAnsi="宋体" w:eastAsia="仿宋_GB2312" w:cs="仿宋_GB2312"/>
          <w:b w:val="0"/>
          <w:bCs w:val="0"/>
          <w:i w:val="0"/>
          <w:caps w:val="0"/>
          <w:color w:val="auto"/>
          <w:spacing w:val="0"/>
          <w:sz w:val="32"/>
          <w:szCs w:val="32"/>
          <w:shd w:val="clear" w:fill="FFFFFF"/>
          <w:lang w:val="en-US" w:eastAsia="zh-CN"/>
        </w:rPr>
        <w:t>2</w:t>
      </w:r>
      <w:r>
        <w:rPr>
          <w:rFonts w:hint="eastAsia" w:ascii="仿宋_GB2312" w:hAnsi="宋体" w:eastAsia="仿宋_GB2312" w:cs="仿宋_GB2312"/>
          <w:b w:val="0"/>
          <w:bCs w:val="0"/>
          <w:i w:val="0"/>
          <w:caps w:val="0"/>
          <w:color w:val="auto"/>
          <w:spacing w:val="0"/>
          <w:sz w:val="32"/>
          <w:szCs w:val="32"/>
          <w:shd w:val="clear" w:fill="FFFFFF"/>
        </w:rPr>
        <w:t>年共收到政府信息公开申请</w:t>
      </w:r>
      <w:r>
        <w:rPr>
          <w:rFonts w:hint="eastAsia" w:ascii="仿宋_GB2312" w:hAnsi="宋体" w:eastAsia="仿宋_GB2312" w:cs="仿宋_GB2312"/>
          <w:b w:val="0"/>
          <w:bCs w:val="0"/>
          <w:i w:val="0"/>
          <w:caps w:val="0"/>
          <w:color w:val="auto"/>
          <w:spacing w:val="0"/>
          <w:sz w:val="32"/>
          <w:szCs w:val="32"/>
          <w:shd w:val="clear" w:fill="FFFFFF"/>
          <w:lang w:val="en-US" w:eastAsia="zh-CN"/>
        </w:rPr>
        <w:t>0</w:t>
      </w:r>
      <w:r>
        <w:rPr>
          <w:rFonts w:hint="eastAsia" w:ascii="仿宋_GB2312" w:hAnsi="宋体" w:eastAsia="仿宋_GB2312" w:cs="仿宋_GB2312"/>
          <w:b w:val="0"/>
          <w:bCs w:val="0"/>
          <w:i w:val="0"/>
          <w:caps w:val="0"/>
          <w:color w:val="auto"/>
          <w:spacing w:val="0"/>
          <w:sz w:val="32"/>
          <w:szCs w:val="32"/>
          <w:shd w:val="clear" w:fill="FFFFFF"/>
        </w:rPr>
        <w:t>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微软雅黑" w:eastAsia="仿宋_GB2312" w:cs="仿宋_GB2312"/>
          <w:i w:val="0"/>
          <w:caps w:val="0"/>
          <w:color w:val="auto"/>
          <w:spacing w:val="0"/>
          <w:kern w:val="0"/>
          <w:sz w:val="32"/>
          <w:szCs w:val="32"/>
          <w:shd w:val="clear" w:fill="FFFFFF"/>
          <w:lang w:val="en-US" w:eastAsia="zh-CN" w:bidi="ar"/>
        </w:rPr>
      </w:pPr>
      <w:r>
        <w:rPr>
          <w:rFonts w:ascii="楷体_GB2312" w:hAnsi="宋体" w:eastAsia="楷体_GB2312" w:cs="楷体_GB2312"/>
          <w:b w:val="0"/>
          <w:bCs w:val="0"/>
          <w:i w:val="0"/>
          <w:caps w:val="0"/>
          <w:color w:val="auto"/>
          <w:spacing w:val="0"/>
          <w:sz w:val="32"/>
          <w:szCs w:val="32"/>
          <w:shd w:val="clear" w:fill="FFFFFF"/>
        </w:rPr>
        <w:t>（三）政府信息管理情况。</w:t>
      </w:r>
      <w:r>
        <w:rPr>
          <w:rFonts w:ascii="仿宋_GB2312" w:hAnsi="宋体" w:eastAsia="仿宋_GB2312" w:cs="仿宋_GB2312"/>
          <w:b w:val="0"/>
          <w:bCs w:val="0"/>
          <w:i w:val="0"/>
          <w:caps w:val="0"/>
          <w:color w:val="auto"/>
          <w:spacing w:val="0"/>
          <w:sz w:val="32"/>
          <w:szCs w:val="32"/>
          <w:shd w:val="clear" w:fill="FFFFFF"/>
        </w:rPr>
        <w:t>一是严格执行信息公开保密审查制度，对主动公开的政</w:t>
      </w:r>
      <w:r>
        <w:rPr>
          <w:rFonts w:ascii="仿宋_GB2312" w:hAnsi="宋体" w:eastAsia="仿宋_GB2312" w:cs="仿宋_GB2312"/>
          <w:i w:val="0"/>
          <w:caps w:val="0"/>
          <w:color w:val="auto"/>
          <w:spacing w:val="0"/>
          <w:sz w:val="32"/>
          <w:szCs w:val="32"/>
          <w:shd w:val="clear" w:fill="FFFFFF"/>
        </w:rPr>
        <w:t>府信息依法依规按照审查程序做好保密审查。二是及时发布政策解读，回应社会关切。通过区政府信息公开网页政策解读栏目，针对群众关心、关注的有关</w:t>
      </w:r>
      <w:r>
        <w:rPr>
          <w:rFonts w:hint="eastAsia" w:ascii="仿宋_GB2312" w:hAnsi="宋体" w:eastAsia="仿宋_GB2312" w:cs="仿宋_GB2312"/>
          <w:i w:val="0"/>
          <w:caps w:val="0"/>
          <w:color w:val="auto"/>
          <w:spacing w:val="0"/>
          <w:sz w:val="32"/>
          <w:szCs w:val="32"/>
          <w:shd w:val="clear" w:fill="FFFFFF"/>
        </w:rPr>
        <w:t>“一窗受理·一次办好”等热点问题，及时发布政策解读。</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宋体" w:eastAsia="仿宋_GB2312" w:cs="仿宋_GB2312"/>
          <w:i w:val="0"/>
          <w:caps w:val="0"/>
          <w:color w:val="auto"/>
          <w:spacing w:val="0"/>
          <w:sz w:val="32"/>
          <w:szCs w:val="32"/>
          <w:shd w:val="clear" w:fill="FFFFFF"/>
        </w:rPr>
      </w:pPr>
      <w:r>
        <w:rPr>
          <w:rFonts w:ascii="楷体_GB2312" w:hAnsi="宋体" w:eastAsia="楷体_GB2312" w:cs="楷体_GB2312"/>
          <w:i w:val="0"/>
          <w:caps w:val="0"/>
          <w:color w:val="auto"/>
          <w:spacing w:val="0"/>
          <w:sz w:val="32"/>
          <w:szCs w:val="32"/>
          <w:shd w:val="clear" w:fill="FFFFFF"/>
        </w:rPr>
        <w:t>（四）平台建设情况。</w:t>
      </w:r>
      <w:r>
        <w:rPr>
          <w:rFonts w:ascii="仿宋_GB2312" w:hAnsi="宋体" w:eastAsia="仿宋_GB2312" w:cs="仿宋_GB2312"/>
          <w:i w:val="0"/>
          <w:caps w:val="0"/>
          <w:color w:val="auto"/>
          <w:spacing w:val="0"/>
          <w:sz w:val="32"/>
          <w:szCs w:val="32"/>
          <w:shd w:val="clear" w:fill="FFFFFF"/>
        </w:rPr>
        <w:t>一是在依托山东政务服务网、</w:t>
      </w:r>
      <w:r>
        <w:rPr>
          <w:rFonts w:hint="eastAsia" w:ascii="仿宋_GB2312" w:hAnsi="宋体" w:eastAsia="仿宋_GB2312" w:cs="仿宋_GB2312"/>
          <w:i w:val="0"/>
          <w:caps w:val="0"/>
          <w:color w:val="auto"/>
          <w:spacing w:val="0"/>
          <w:sz w:val="32"/>
          <w:szCs w:val="32"/>
          <w:shd w:val="clear" w:fill="FFFFFF"/>
          <w:lang w:eastAsia="zh-CN"/>
        </w:rPr>
        <w:t>台儿庄</w:t>
      </w:r>
      <w:r>
        <w:rPr>
          <w:rFonts w:ascii="仿宋_GB2312" w:hAnsi="宋体" w:eastAsia="仿宋_GB2312" w:cs="仿宋_GB2312"/>
          <w:i w:val="0"/>
          <w:caps w:val="0"/>
          <w:color w:val="auto"/>
          <w:spacing w:val="0"/>
          <w:sz w:val="32"/>
          <w:szCs w:val="32"/>
          <w:shd w:val="clear" w:fill="FFFFFF"/>
        </w:rPr>
        <w:t>区人民政府网站开展政府信息公开的基础上，区审批服务局不断强化实体政务公开平台，</w:t>
      </w:r>
      <w:r>
        <w:rPr>
          <w:rFonts w:hint="eastAsia" w:ascii="仿宋_GB2312" w:hAnsi="宋体" w:eastAsia="仿宋_GB2312" w:cs="仿宋_GB2312"/>
          <w:i w:val="0"/>
          <w:caps w:val="0"/>
          <w:color w:val="auto"/>
          <w:spacing w:val="0"/>
          <w:sz w:val="32"/>
          <w:szCs w:val="32"/>
          <w:shd w:val="clear" w:fill="FFFFFF"/>
        </w:rPr>
        <w:t>在政务服务大厅通过LED屏幕和在窗口摆放办事指南等方式向公众公开行政审批事项办理工作情况，主动接受社会的监督。二是推行“</w:t>
      </w:r>
      <w:r>
        <w:rPr>
          <w:rFonts w:hint="eastAsia" w:ascii="仿宋_GB2312" w:hAnsi="宋体" w:eastAsia="仿宋_GB2312" w:cs="仿宋_GB2312"/>
          <w:i w:val="0"/>
          <w:caps w:val="0"/>
          <w:color w:val="auto"/>
          <w:spacing w:val="0"/>
          <w:sz w:val="32"/>
          <w:szCs w:val="32"/>
          <w:shd w:val="clear" w:fill="FFFFFF"/>
          <w:lang w:eastAsia="zh-CN"/>
        </w:rPr>
        <w:t>微信</w:t>
      </w:r>
      <w:r>
        <w:rPr>
          <w:rFonts w:hint="eastAsia" w:ascii="仿宋_GB2312" w:hAnsi="宋体" w:eastAsia="仿宋_GB2312" w:cs="仿宋_GB2312"/>
          <w:i w:val="0"/>
          <w:caps w:val="0"/>
          <w:color w:val="auto"/>
          <w:spacing w:val="0"/>
          <w:sz w:val="32"/>
          <w:szCs w:val="32"/>
          <w:shd w:val="clear" w:fill="FFFFFF"/>
        </w:rPr>
        <w:t>告知”，将区审批服务局行政许可事项的办事指南</w:t>
      </w:r>
      <w:r>
        <w:rPr>
          <w:rFonts w:hint="eastAsia" w:ascii="仿宋_GB2312" w:hAnsi="宋体" w:eastAsia="仿宋_GB2312" w:cs="仿宋_GB2312"/>
          <w:i w:val="0"/>
          <w:caps w:val="0"/>
          <w:color w:val="auto"/>
          <w:spacing w:val="0"/>
          <w:sz w:val="32"/>
          <w:szCs w:val="32"/>
          <w:shd w:val="clear" w:fill="FFFFFF"/>
          <w:lang w:eastAsia="zh-CN"/>
        </w:rPr>
        <w:t>在微信公众号公开</w:t>
      </w:r>
      <w:r>
        <w:rPr>
          <w:rFonts w:hint="eastAsia" w:ascii="仿宋_GB2312" w:hAnsi="宋体" w:eastAsia="仿宋_GB2312" w:cs="仿宋_GB2312"/>
          <w:i w:val="0"/>
          <w:caps w:val="0"/>
          <w:color w:val="auto"/>
          <w:spacing w:val="0"/>
          <w:sz w:val="32"/>
          <w:szCs w:val="32"/>
          <w:shd w:val="clear" w:fill="FFFFFF"/>
        </w:rPr>
        <w:t>，办事群众只需</w:t>
      </w:r>
      <w:r>
        <w:rPr>
          <w:rFonts w:hint="eastAsia" w:ascii="仿宋_GB2312" w:hAnsi="宋体" w:eastAsia="仿宋_GB2312" w:cs="仿宋_GB2312"/>
          <w:i w:val="0"/>
          <w:caps w:val="0"/>
          <w:color w:val="auto"/>
          <w:spacing w:val="0"/>
          <w:sz w:val="32"/>
          <w:szCs w:val="32"/>
          <w:shd w:val="clear" w:fill="FFFFFF"/>
          <w:lang w:eastAsia="zh-CN"/>
        </w:rPr>
        <w:t>打开“台儿庄区政务服务中心”微信公众号</w:t>
      </w:r>
      <w:r>
        <w:rPr>
          <w:rFonts w:hint="eastAsia" w:ascii="仿宋_GB2312" w:hAnsi="宋体" w:eastAsia="仿宋_GB2312" w:cs="仿宋_GB2312"/>
          <w:i w:val="0"/>
          <w:caps w:val="0"/>
          <w:color w:val="auto"/>
          <w:spacing w:val="0"/>
          <w:sz w:val="32"/>
          <w:szCs w:val="32"/>
          <w:shd w:val="clear" w:fill="FFFFFF"/>
        </w:rPr>
        <w:t>，即可详细了解申请或咨询事项所需的条件、申报材料等信息。</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ascii="仿宋_GB2312" w:hAnsi="宋体" w:eastAsia="仿宋_GB2312" w:cs="仿宋_GB2312"/>
          <w:i w:val="0"/>
          <w:caps w:val="0"/>
          <w:color w:val="auto"/>
          <w:spacing w:val="0"/>
          <w:sz w:val="32"/>
          <w:szCs w:val="32"/>
        </w:rPr>
      </w:pPr>
      <w:r>
        <w:rPr>
          <w:rFonts w:ascii="楷体_GB2312" w:hAnsi="宋体" w:eastAsia="楷体_GB2312" w:cs="楷体_GB2312"/>
          <w:i w:val="0"/>
          <w:caps w:val="0"/>
          <w:color w:val="auto"/>
          <w:spacing w:val="0"/>
          <w:sz w:val="32"/>
          <w:szCs w:val="32"/>
        </w:rPr>
        <w:t>（五）监督保障情况。</w:t>
      </w:r>
      <w:r>
        <w:rPr>
          <w:rFonts w:ascii="仿宋_GB2312" w:hAnsi="宋体" w:eastAsia="仿宋_GB2312" w:cs="仿宋_GB2312"/>
          <w:i w:val="0"/>
          <w:caps w:val="0"/>
          <w:color w:val="auto"/>
          <w:spacing w:val="0"/>
          <w:sz w:val="32"/>
          <w:szCs w:val="32"/>
        </w:rPr>
        <w:t>一是成立政务公开工作领导小组，明确专人负责具体工作。局领导班子定期研究政务公开工作，统一研究部署，明确责任分工，及时解决政务公开中的重大问题，明确工作目标和内容，确保政务公开工作责任明确、落实到位。二是进一步充实政务公开工作力量，对全体工作人员进行培训，重点学习新修订《中华人民共和国政府信息公开条例》等法律法规，不断提高工作人员政务公开工作能力和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left"/>
        <w:textAlignment w:val="auto"/>
        <w:outlineLvl w:val="9"/>
        <w:rPr>
          <w:rFonts w:ascii="楷体_GB2312" w:eastAsia="楷体_GB2312" w:cs="楷体_GB2312"/>
          <w:i w:val="0"/>
          <w:caps w:val="0"/>
          <w:color w:val="auto"/>
          <w:spacing w:val="0"/>
          <w:sz w:val="32"/>
          <w:szCs w:val="32"/>
        </w:rPr>
      </w:pPr>
      <w:r>
        <w:rPr>
          <w:rFonts w:hint="eastAsia" w:ascii="楷体_GB2312" w:eastAsia="楷体_GB2312" w:cs="楷体_GB2312" w:hAnsiTheme="minorHAnsi"/>
          <w:i w:val="0"/>
          <w:caps w:val="0"/>
          <w:color w:val="auto"/>
          <w:spacing w:val="0"/>
          <w:kern w:val="0"/>
          <w:sz w:val="32"/>
          <w:szCs w:val="32"/>
          <w:shd w:val="clear" w:fill="FFFFFF"/>
          <w:lang w:val="en-US" w:eastAsia="zh-CN" w:bidi="ar"/>
        </w:rPr>
        <w:t>（</w:t>
      </w:r>
      <w:r>
        <w:rPr>
          <w:rFonts w:hint="eastAsia" w:ascii="楷体_GB2312" w:eastAsia="楷体_GB2312" w:cs="楷体_GB2312"/>
          <w:i w:val="0"/>
          <w:caps w:val="0"/>
          <w:color w:val="auto"/>
          <w:spacing w:val="0"/>
          <w:kern w:val="0"/>
          <w:sz w:val="32"/>
          <w:szCs w:val="32"/>
          <w:shd w:val="clear" w:fill="FFFFFF"/>
          <w:lang w:val="en-US" w:eastAsia="zh-CN" w:bidi="ar"/>
        </w:rPr>
        <w:t>六</w:t>
      </w:r>
      <w:r>
        <w:rPr>
          <w:rFonts w:hint="eastAsia" w:ascii="楷体_GB2312" w:eastAsia="楷体_GB2312" w:cs="楷体_GB2312" w:hAnsiTheme="minorHAnsi"/>
          <w:i w:val="0"/>
          <w:caps w:val="0"/>
          <w:color w:val="auto"/>
          <w:spacing w:val="0"/>
          <w:kern w:val="0"/>
          <w:sz w:val="32"/>
          <w:szCs w:val="32"/>
          <w:shd w:val="clear" w:fill="FFFFFF"/>
          <w:lang w:val="en-US" w:eastAsia="zh-CN" w:bidi="ar"/>
        </w:rPr>
        <w:t>）建议提案办理结果公开情况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left"/>
        <w:textAlignment w:val="auto"/>
        <w:outlineLvl w:val="9"/>
        <w:rPr>
          <w:rFonts w:hint="eastAsia" w:ascii="仿宋_GB2312" w:eastAsia="仿宋_GB2312" w:cs="仿宋_GB2312"/>
          <w:i w:val="0"/>
          <w:caps w:val="0"/>
          <w:color w:val="auto"/>
          <w:spacing w:val="0"/>
          <w:kern w:val="0"/>
          <w:sz w:val="32"/>
          <w:szCs w:val="32"/>
          <w:shd w:val="clear" w:fill="FFFFFF"/>
          <w:lang w:val="en-US" w:eastAsia="zh-CN" w:bidi="ar"/>
        </w:rPr>
      </w:pPr>
      <w:r>
        <w:rPr>
          <w:rFonts w:ascii="仿宋_GB2312" w:eastAsia="仿宋_GB2312" w:cs="仿宋_GB2312" w:hAnsiTheme="minorHAnsi"/>
          <w:i w:val="0"/>
          <w:caps w:val="0"/>
          <w:color w:val="auto"/>
          <w:spacing w:val="0"/>
          <w:kern w:val="0"/>
          <w:sz w:val="32"/>
          <w:szCs w:val="32"/>
          <w:shd w:val="clear" w:fill="FFFFFF"/>
          <w:lang w:val="en-US" w:eastAsia="zh-CN" w:bidi="ar"/>
        </w:rPr>
        <w:t>2</w:t>
      </w:r>
      <w:r>
        <w:rPr>
          <w:rFonts w:hint="eastAsia" w:ascii="仿宋_GB2312" w:eastAsia="仿宋_GB2312" w:cs="仿宋_GB2312"/>
          <w:i w:val="0"/>
          <w:caps w:val="0"/>
          <w:color w:val="auto"/>
          <w:spacing w:val="0"/>
          <w:kern w:val="0"/>
          <w:sz w:val="32"/>
          <w:szCs w:val="32"/>
          <w:shd w:val="clear" w:fill="FFFFFF"/>
          <w:lang w:val="en-US" w:eastAsia="zh-CN" w:bidi="ar"/>
        </w:rPr>
        <w:t>022年区审批服务局共接收到市政协十一届一次会议提案1件：《关于持续优化营商环境的建议》（111030号），涉及优化营商环境、促进民营企业经济发展的工作，已在规定时限内圆满完成了办理工作。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ascii="黑体" w:hAnsi="宋体" w:eastAsia="黑体" w:cs="黑体"/>
          <w:i w:val="0"/>
          <w:caps w:val="0"/>
          <w:color w:val="auto"/>
          <w:spacing w:val="0"/>
          <w:sz w:val="32"/>
          <w:szCs w:val="32"/>
          <w:shd w:val="clear" w:fill="FFFFFF"/>
        </w:rPr>
      </w:pPr>
      <w:r>
        <w:rPr>
          <w:rFonts w:hint="eastAsia" w:ascii="黑体" w:hAnsi="宋体" w:eastAsia="黑体" w:cs="黑体"/>
          <w:i w:val="0"/>
          <w:caps w:val="0"/>
          <w:color w:val="auto"/>
          <w:spacing w:val="0"/>
          <w:sz w:val="32"/>
          <w:szCs w:val="32"/>
          <w:shd w:val="clear" w:fill="FFFFFF"/>
          <w:lang w:eastAsia="zh-CN"/>
        </w:rPr>
        <w:t>二、</w:t>
      </w:r>
      <w:r>
        <w:rPr>
          <w:rFonts w:ascii="黑体" w:hAnsi="宋体" w:eastAsia="黑体" w:cs="黑体"/>
          <w:i w:val="0"/>
          <w:caps w:val="0"/>
          <w:color w:val="auto"/>
          <w:spacing w:val="0"/>
          <w:sz w:val="32"/>
          <w:szCs w:val="32"/>
          <w:shd w:val="clear" w:fill="FFFFFF"/>
        </w:rPr>
        <w:t>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黑体" w:hAnsi="黑体" w:eastAsia="黑体" w:cs="宋体"/>
                <w:b w:val="0"/>
                <w:bCs w:val="0"/>
                <w:color w:val="auto"/>
                <w:kern w:val="0"/>
                <w:szCs w:val="21"/>
              </w:rPr>
            </w:pPr>
            <w:r>
              <w:rPr>
                <w:rFonts w:hint="eastAsia" w:ascii="黑体" w:hAnsi="黑体" w:eastAsia="黑体" w:cs="宋体"/>
                <w:b w:val="0"/>
                <w:bCs w:val="0"/>
                <w:color w:val="auto"/>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宋体" w:eastAsia="仿宋_GB2312" w:cs="宋体"/>
                <w:b w:val="0"/>
                <w:bCs w:val="0"/>
                <w:color w:val="auto"/>
                <w:kern w:val="0"/>
                <w:szCs w:val="21"/>
              </w:rPr>
            </w:pPr>
            <w:r>
              <w:rPr>
                <w:rFonts w:hint="eastAsia" w:ascii="仿宋_GB2312" w:hAnsi="宋体" w:eastAsia="仿宋_GB2312" w:cs="宋体"/>
                <w:b w:val="0"/>
                <w:bCs w:val="0"/>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宋体" w:eastAsia="仿宋_GB2312" w:cs="宋体"/>
                <w:b w:val="0"/>
                <w:bCs w:val="0"/>
                <w:color w:val="auto"/>
                <w:kern w:val="0"/>
                <w:szCs w:val="21"/>
              </w:rPr>
            </w:pPr>
            <w:r>
              <w:rPr>
                <w:rFonts w:hint="eastAsia" w:ascii="仿宋_GB2312" w:hAnsi="宋体" w:eastAsia="仿宋_GB2312" w:cs="宋体"/>
                <w:b w:val="0"/>
                <w:bCs w:val="0"/>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宋体" w:eastAsia="仿宋_GB2312" w:cs="宋体"/>
                <w:b w:val="0"/>
                <w:bCs w:val="0"/>
                <w:color w:val="auto"/>
                <w:kern w:val="0"/>
                <w:szCs w:val="21"/>
              </w:rPr>
            </w:pPr>
            <w:r>
              <w:rPr>
                <w:rFonts w:hint="eastAsia" w:ascii="仿宋_GB2312" w:hAnsi="宋体" w:eastAsia="仿宋_GB2312" w:cs="宋体"/>
                <w:b w:val="0"/>
                <w:bCs w:val="0"/>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宋体" w:eastAsia="仿宋_GB2312" w:cs="宋体"/>
                <w:b w:val="0"/>
                <w:bCs w:val="0"/>
                <w:color w:val="auto"/>
                <w:kern w:val="0"/>
                <w:szCs w:val="21"/>
              </w:rPr>
            </w:pPr>
            <w:r>
              <w:rPr>
                <w:rFonts w:hint="eastAsia" w:ascii="仿宋_GB2312" w:hAnsi="宋体" w:eastAsia="仿宋_GB2312" w:cs="宋体"/>
                <w:b w:val="0"/>
                <w:bCs w:val="0"/>
                <w:color w:val="auto"/>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ascii="仿宋_GB2312" w:hAnsi="宋体" w:eastAsia="仿宋_GB2312" w:cs="宋体"/>
                <w:b w:val="0"/>
                <w:bCs w:val="0"/>
                <w:color w:val="auto"/>
                <w:kern w:val="0"/>
                <w:szCs w:val="21"/>
              </w:rPr>
            </w:pPr>
            <w:r>
              <w:rPr>
                <w:rFonts w:hint="eastAsia" w:ascii="仿宋_GB2312" w:hAnsi="宋体" w:eastAsia="仿宋_GB2312" w:cs="宋体"/>
                <w:b w:val="0"/>
                <w:bCs w:val="0"/>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_GB2312" w:hAnsi="宋体" w:eastAsia="仿宋_GB2312" w:cs="宋体"/>
                <w:b w:val="0"/>
                <w:bCs w:val="0"/>
                <w:color w:val="auto"/>
                <w:kern w:val="0"/>
                <w:szCs w:val="21"/>
                <w:lang w:val="en-US" w:eastAsia="zh-CN"/>
              </w:rPr>
            </w:pPr>
            <w:r>
              <w:rPr>
                <w:rFonts w:hint="eastAsia" w:ascii="仿宋_GB2312" w:hAnsi="宋体" w:eastAsia="仿宋_GB2312" w:cs="宋体"/>
                <w:b w:val="0"/>
                <w:bCs w:val="0"/>
                <w:color w:val="auto"/>
                <w:kern w:val="0"/>
                <w:szCs w:val="21"/>
              </w:rPr>
              <w:t>　　</w:t>
            </w:r>
            <w:r>
              <w:rPr>
                <w:rFonts w:hint="eastAsia" w:ascii="仿宋_GB2312" w:hAnsi="宋体" w:eastAsia="仿宋_GB2312" w:cs="宋体"/>
                <w:b w:val="0"/>
                <w:bCs w:val="0"/>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_GB2312" w:hAnsi="宋体" w:eastAsia="仿宋_GB2312" w:cs="宋体"/>
                <w:b w:val="0"/>
                <w:bCs w:val="0"/>
                <w:color w:val="auto"/>
                <w:kern w:val="0"/>
                <w:szCs w:val="21"/>
                <w:lang w:val="en-US" w:eastAsia="zh-CN"/>
              </w:rPr>
            </w:pPr>
            <w:r>
              <w:rPr>
                <w:rFonts w:hint="eastAsia" w:ascii="仿宋_GB2312" w:hAnsi="宋体" w:eastAsia="仿宋_GB2312" w:cs="宋体"/>
                <w:b w:val="0"/>
                <w:bCs w:val="0"/>
                <w:color w:val="auto"/>
                <w:kern w:val="0"/>
                <w:szCs w:val="21"/>
              </w:rPr>
              <w:t> 　</w:t>
            </w:r>
            <w:r>
              <w:rPr>
                <w:rFonts w:hint="eastAsia" w:ascii="仿宋_GB2312" w:hAnsi="宋体" w:eastAsia="仿宋_GB2312" w:cs="宋体"/>
                <w:b w:val="0"/>
                <w:bCs w:val="0"/>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_GB2312" w:hAnsi="Calibri" w:eastAsia="仿宋_GB2312" w:cs="Calibri"/>
                <w:b w:val="0"/>
                <w:bCs w:val="0"/>
                <w:color w:val="auto"/>
                <w:kern w:val="0"/>
                <w:szCs w:val="21"/>
                <w:lang w:val="en-US" w:eastAsia="zh-CN"/>
              </w:rPr>
            </w:pPr>
            <w:r>
              <w:rPr>
                <w:rFonts w:hint="eastAsia" w:ascii="仿宋_GB2312" w:hAnsi="Calibri" w:eastAsia="仿宋_GB2312" w:cs="Calibri"/>
                <w:b w:val="0"/>
                <w:bCs w:val="0"/>
                <w:color w:val="auto"/>
                <w:kern w:val="0"/>
                <w:szCs w:val="21"/>
              </w:rPr>
              <w:t>　</w:t>
            </w:r>
            <w:r>
              <w:rPr>
                <w:rFonts w:hint="eastAsia" w:ascii="仿宋_GB2312" w:hAnsi="Calibri" w:eastAsia="仿宋_GB2312" w:cs="Calibri"/>
                <w:b w:val="0"/>
                <w:bCs w:val="0"/>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ascii="仿宋_GB2312" w:hAnsi="宋体" w:eastAsia="仿宋_GB2312" w:cs="宋体"/>
                <w:b w:val="0"/>
                <w:bCs w:val="0"/>
                <w:color w:val="auto"/>
                <w:kern w:val="0"/>
                <w:szCs w:val="21"/>
              </w:rPr>
            </w:pPr>
            <w:r>
              <w:rPr>
                <w:rFonts w:hint="eastAsia" w:ascii="仿宋_GB2312" w:hAnsi="宋体" w:eastAsia="仿宋_GB2312" w:cs="宋体"/>
                <w:b w:val="0"/>
                <w:bCs w:val="0"/>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_GB2312" w:hAnsi="宋体" w:eastAsia="仿宋_GB2312" w:cs="宋体"/>
                <w:b w:val="0"/>
                <w:bCs w:val="0"/>
                <w:color w:val="auto"/>
                <w:kern w:val="0"/>
                <w:szCs w:val="21"/>
                <w:lang w:val="en-US" w:eastAsia="zh-CN"/>
              </w:rPr>
            </w:pPr>
            <w:r>
              <w:rPr>
                <w:rFonts w:hint="eastAsia" w:ascii="仿宋_GB2312" w:hAnsi="宋体" w:eastAsia="仿宋_GB2312" w:cs="宋体"/>
                <w:b w:val="0"/>
                <w:bCs w:val="0"/>
                <w:color w:val="auto"/>
                <w:kern w:val="0"/>
                <w:szCs w:val="21"/>
              </w:rPr>
              <w:t>　　</w:t>
            </w:r>
            <w:r>
              <w:rPr>
                <w:rFonts w:hint="eastAsia" w:ascii="仿宋_GB2312" w:hAnsi="宋体" w:eastAsia="仿宋_GB2312" w:cs="宋体"/>
                <w:b w:val="0"/>
                <w:bCs w:val="0"/>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_GB2312" w:hAnsi="宋体" w:eastAsia="仿宋_GB2312" w:cs="宋体"/>
                <w:b w:val="0"/>
                <w:bCs w:val="0"/>
                <w:color w:val="auto"/>
                <w:kern w:val="0"/>
                <w:szCs w:val="21"/>
                <w:lang w:val="en-US" w:eastAsia="zh-CN"/>
              </w:rPr>
            </w:pPr>
            <w:r>
              <w:rPr>
                <w:rFonts w:hint="eastAsia" w:ascii="仿宋_GB2312" w:hAnsi="宋体" w:eastAsia="仿宋_GB2312" w:cs="宋体"/>
                <w:b w:val="0"/>
                <w:bCs w:val="0"/>
                <w:color w:val="auto"/>
                <w:kern w:val="0"/>
                <w:szCs w:val="21"/>
              </w:rPr>
              <w:t> 　</w:t>
            </w:r>
            <w:r>
              <w:rPr>
                <w:rFonts w:hint="eastAsia" w:ascii="仿宋_GB2312" w:hAnsi="宋体" w:eastAsia="仿宋_GB2312" w:cs="宋体"/>
                <w:b w:val="0"/>
                <w:bCs w:val="0"/>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_GB2312" w:hAnsi="Calibri" w:eastAsia="仿宋_GB2312" w:cs="Calibri"/>
                <w:b w:val="0"/>
                <w:bCs w:val="0"/>
                <w:color w:val="auto"/>
                <w:kern w:val="0"/>
                <w:szCs w:val="21"/>
                <w:lang w:val="en-US" w:eastAsia="zh-CN"/>
              </w:rPr>
            </w:pPr>
            <w:r>
              <w:rPr>
                <w:rFonts w:hint="eastAsia" w:ascii="仿宋_GB2312" w:hAnsi="Calibri" w:eastAsia="仿宋_GB2312" w:cs="Calibri"/>
                <w:b w:val="0"/>
                <w:bCs w:val="0"/>
                <w:color w:val="auto"/>
                <w:kern w:val="0"/>
                <w:szCs w:val="21"/>
              </w:rPr>
              <w:t>　</w:t>
            </w:r>
            <w:r>
              <w:rPr>
                <w:rFonts w:hint="eastAsia" w:ascii="仿宋_GB2312" w:hAnsi="Calibri" w:eastAsia="仿宋_GB2312" w:cs="Calibri"/>
                <w:b w:val="0"/>
                <w:bCs w:val="0"/>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黑体" w:hAnsi="黑体" w:eastAsia="黑体" w:cs="宋体"/>
                <w:b w:val="0"/>
                <w:bCs w:val="0"/>
                <w:color w:val="auto"/>
                <w:kern w:val="0"/>
                <w:szCs w:val="21"/>
              </w:rPr>
            </w:pPr>
            <w:r>
              <w:rPr>
                <w:rFonts w:hint="eastAsia" w:ascii="黑体" w:hAnsi="黑体" w:eastAsia="黑体" w:cs="宋体"/>
                <w:b w:val="0"/>
                <w:bCs w:val="0"/>
                <w:color w:val="auto"/>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宋体" w:eastAsia="仿宋_GB2312" w:cs="宋体"/>
                <w:b w:val="0"/>
                <w:bCs w:val="0"/>
                <w:color w:val="auto"/>
                <w:kern w:val="0"/>
                <w:szCs w:val="21"/>
              </w:rPr>
            </w:pPr>
            <w:r>
              <w:rPr>
                <w:rFonts w:hint="eastAsia" w:ascii="仿宋_GB2312" w:hAnsi="宋体" w:eastAsia="仿宋_GB2312" w:cs="宋体"/>
                <w:b w:val="0"/>
                <w:bCs w:val="0"/>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宋体" w:eastAsia="仿宋_GB2312" w:cs="宋体"/>
                <w:b w:val="0"/>
                <w:bCs w:val="0"/>
                <w:color w:val="auto"/>
                <w:kern w:val="0"/>
                <w:szCs w:val="21"/>
              </w:rPr>
            </w:pPr>
            <w:r>
              <w:rPr>
                <w:rFonts w:hint="eastAsia" w:ascii="仿宋_GB2312" w:hAnsi="宋体" w:eastAsia="仿宋_GB2312" w:cs="宋体"/>
                <w:b w:val="0"/>
                <w:bCs w:val="0"/>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ascii="仿宋_GB2312" w:hAnsi="宋体" w:eastAsia="仿宋_GB2312" w:cs="宋体"/>
                <w:b w:val="0"/>
                <w:bCs w:val="0"/>
                <w:color w:val="auto"/>
                <w:kern w:val="0"/>
                <w:szCs w:val="21"/>
              </w:rPr>
            </w:pPr>
            <w:r>
              <w:rPr>
                <w:rFonts w:hint="eastAsia" w:ascii="仿宋_GB2312" w:hAnsi="宋体" w:eastAsia="仿宋_GB2312" w:cs="宋体"/>
                <w:b w:val="0"/>
                <w:bCs w:val="0"/>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tabs>
                <w:tab w:val="center" w:pos="3201"/>
              </w:tabs>
              <w:kinsoku/>
              <w:wordWrap/>
              <w:overflowPunct/>
              <w:topLinePunct w:val="0"/>
              <w:autoSpaceDE/>
              <w:autoSpaceDN/>
              <w:bidi w:val="0"/>
              <w:adjustRightInd/>
              <w:snapToGrid/>
              <w:jc w:val="left"/>
              <w:textAlignment w:val="auto"/>
              <w:outlineLvl w:val="9"/>
              <w:rPr>
                <w:rFonts w:hint="default" w:ascii="仿宋_GB2312" w:hAnsi="Calibri" w:eastAsia="仿宋_GB2312" w:cs="Calibri"/>
                <w:b w:val="0"/>
                <w:bCs w:val="0"/>
                <w:color w:val="auto"/>
                <w:kern w:val="0"/>
                <w:szCs w:val="21"/>
                <w:lang w:val="en-US" w:eastAsia="zh-CN"/>
              </w:rPr>
            </w:pPr>
            <w:r>
              <w:rPr>
                <w:rFonts w:hint="eastAsia" w:ascii="仿宋_GB2312" w:hAnsi="Calibri" w:eastAsia="仿宋_GB2312" w:cs="Calibri"/>
                <w:b w:val="0"/>
                <w:bCs w:val="0"/>
                <w:color w:val="auto"/>
                <w:kern w:val="0"/>
                <w:szCs w:val="21"/>
              </w:rPr>
              <w:t>　</w:t>
            </w:r>
            <w:r>
              <w:rPr>
                <w:rFonts w:hint="eastAsia" w:ascii="仿宋_GB2312" w:hAnsi="Calibri" w:eastAsia="仿宋_GB2312" w:cs="Calibri"/>
                <w:b w:val="0"/>
                <w:bCs w:val="0"/>
                <w:color w:val="auto"/>
                <w:kern w:val="0"/>
                <w:szCs w:val="21"/>
                <w:lang w:eastAsia="zh-CN"/>
              </w:rPr>
              <w:tab/>
            </w:r>
            <w:r>
              <w:rPr>
                <w:rFonts w:hint="eastAsia" w:ascii="仿宋_GB2312" w:hAnsi="Calibri" w:eastAsia="仿宋_GB2312" w:cs="Calibri"/>
                <w:b w:val="0"/>
                <w:bCs w:val="0"/>
                <w:color w:val="auto"/>
                <w:kern w:val="0"/>
                <w:szCs w:val="21"/>
                <w:lang w:val="en-US" w:eastAsia="zh-CN"/>
              </w:rPr>
              <w:t>15617</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黑体" w:hAnsi="黑体" w:eastAsia="黑体" w:cs="宋体"/>
                <w:b w:val="0"/>
                <w:bCs w:val="0"/>
                <w:color w:val="auto"/>
                <w:kern w:val="0"/>
                <w:szCs w:val="21"/>
              </w:rPr>
            </w:pPr>
            <w:r>
              <w:rPr>
                <w:rFonts w:hint="eastAsia" w:ascii="黑体" w:hAnsi="黑体" w:eastAsia="黑体" w:cs="宋体"/>
                <w:b w:val="0"/>
                <w:bCs w:val="0"/>
                <w:color w:val="auto"/>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宋体" w:eastAsia="仿宋_GB2312" w:cs="宋体"/>
                <w:b w:val="0"/>
                <w:bCs w:val="0"/>
                <w:color w:val="auto"/>
                <w:kern w:val="0"/>
                <w:szCs w:val="21"/>
              </w:rPr>
            </w:pPr>
            <w:r>
              <w:rPr>
                <w:rFonts w:hint="eastAsia" w:ascii="仿宋_GB2312" w:hAnsi="宋体" w:eastAsia="仿宋_GB2312" w:cs="宋体"/>
                <w:b w:val="0"/>
                <w:bCs w:val="0"/>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宋体" w:eastAsia="仿宋_GB2312" w:cs="宋体"/>
                <w:b w:val="0"/>
                <w:bCs w:val="0"/>
                <w:color w:val="auto"/>
                <w:kern w:val="0"/>
                <w:szCs w:val="21"/>
              </w:rPr>
            </w:pPr>
            <w:r>
              <w:rPr>
                <w:rFonts w:hint="eastAsia" w:ascii="仿宋_GB2312" w:hAnsi="宋体" w:eastAsia="仿宋_GB2312" w:cs="宋体"/>
                <w:b w:val="0"/>
                <w:bCs w:val="0"/>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ascii="仿宋_GB2312" w:hAnsi="宋体" w:eastAsia="仿宋_GB2312" w:cs="宋体"/>
                <w:b w:val="0"/>
                <w:bCs w:val="0"/>
                <w:color w:val="auto"/>
                <w:kern w:val="0"/>
                <w:szCs w:val="21"/>
              </w:rPr>
            </w:pPr>
            <w:r>
              <w:rPr>
                <w:rFonts w:hint="eastAsia" w:ascii="仿宋_GB2312" w:hAnsi="宋体" w:eastAsia="仿宋_GB2312" w:cs="宋体"/>
                <w:b w:val="0"/>
                <w:bCs w:val="0"/>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_GB2312" w:hAnsi="宋体" w:eastAsia="仿宋_GB2312" w:cs="宋体"/>
                <w:b w:val="0"/>
                <w:bCs w:val="0"/>
                <w:color w:val="auto"/>
                <w:kern w:val="0"/>
                <w:szCs w:val="21"/>
                <w:lang w:val="en-US" w:eastAsia="zh-CN"/>
              </w:rPr>
            </w:pPr>
            <w:r>
              <w:rPr>
                <w:rFonts w:hint="eastAsia" w:ascii="仿宋_GB2312" w:hAnsi="宋体" w:eastAsia="仿宋_GB2312" w:cs="宋体"/>
                <w:b w:val="0"/>
                <w:bCs w:val="0"/>
                <w:color w:val="auto"/>
                <w:kern w:val="0"/>
                <w:szCs w:val="21"/>
              </w:rPr>
              <w:t>　</w:t>
            </w:r>
            <w:r>
              <w:rPr>
                <w:rFonts w:hint="eastAsia" w:ascii="仿宋_GB2312" w:hAnsi="宋体" w:eastAsia="仿宋_GB2312" w:cs="宋体"/>
                <w:b w:val="0"/>
                <w:bCs w:val="0"/>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ascii="仿宋_GB2312" w:hAnsi="宋体" w:eastAsia="仿宋_GB2312" w:cs="宋体"/>
                <w:b w:val="0"/>
                <w:bCs w:val="0"/>
                <w:color w:val="auto"/>
                <w:kern w:val="0"/>
                <w:szCs w:val="21"/>
              </w:rPr>
            </w:pPr>
            <w:r>
              <w:rPr>
                <w:rFonts w:hint="eastAsia" w:ascii="仿宋_GB2312" w:hAnsi="宋体" w:eastAsia="仿宋_GB2312" w:cs="宋体"/>
                <w:b w:val="0"/>
                <w:bCs w:val="0"/>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_GB2312" w:hAnsi="宋体" w:eastAsia="仿宋_GB2312" w:cs="宋体"/>
                <w:b w:val="0"/>
                <w:bCs w:val="0"/>
                <w:color w:val="auto"/>
                <w:kern w:val="0"/>
                <w:szCs w:val="21"/>
                <w:lang w:val="en-US" w:eastAsia="zh-CN"/>
              </w:rPr>
            </w:pPr>
            <w:r>
              <w:rPr>
                <w:rFonts w:hint="eastAsia" w:ascii="仿宋_GB2312" w:hAnsi="宋体" w:eastAsia="仿宋_GB2312" w:cs="宋体"/>
                <w:b w:val="0"/>
                <w:bCs w:val="0"/>
                <w:color w:val="auto"/>
                <w:kern w:val="0"/>
                <w:szCs w:val="21"/>
              </w:rPr>
              <w:t>　</w:t>
            </w:r>
            <w:r>
              <w:rPr>
                <w:rFonts w:hint="eastAsia" w:ascii="仿宋_GB2312" w:hAnsi="宋体" w:eastAsia="仿宋_GB2312" w:cs="宋体"/>
                <w:b w:val="0"/>
                <w:bCs w:val="0"/>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黑体" w:hAnsi="黑体" w:eastAsia="黑体" w:cs="宋体"/>
                <w:b w:val="0"/>
                <w:bCs w:val="0"/>
                <w:color w:val="auto"/>
                <w:kern w:val="0"/>
                <w:szCs w:val="21"/>
              </w:rPr>
            </w:pPr>
            <w:r>
              <w:rPr>
                <w:rFonts w:hint="eastAsia" w:ascii="黑体" w:hAnsi="黑体" w:eastAsia="黑体" w:cs="宋体"/>
                <w:b w:val="0"/>
                <w:bCs w:val="0"/>
                <w:color w:val="auto"/>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宋体" w:eastAsia="仿宋_GB2312" w:cs="宋体"/>
                <w:b w:val="0"/>
                <w:bCs w:val="0"/>
                <w:color w:val="auto"/>
                <w:kern w:val="0"/>
                <w:szCs w:val="21"/>
              </w:rPr>
            </w:pPr>
            <w:r>
              <w:rPr>
                <w:rFonts w:hint="eastAsia" w:ascii="仿宋_GB2312" w:hAnsi="宋体" w:eastAsia="仿宋_GB2312" w:cs="宋体"/>
                <w:b w:val="0"/>
                <w:bCs w:val="0"/>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宋体" w:eastAsia="仿宋_GB2312" w:cs="宋体"/>
                <w:b w:val="0"/>
                <w:bCs w:val="0"/>
                <w:color w:val="auto"/>
                <w:kern w:val="0"/>
                <w:szCs w:val="21"/>
              </w:rPr>
            </w:pPr>
            <w:r>
              <w:rPr>
                <w:rFonts w:hint="eastAsia" w:ascii="仿宋_GB2312" w:hAnsi="宋体" w:eastAsia="仿宋_GB2312" w:cs="宋体"/>
                <w:b w:val="0"/>
                <w:bCs w:val="0"/>
                <w:color w:val="auto"/>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ascii="仿宋_GB2312" w:hAnsi="宋体" w:eastAsia="仿宋_GB2312" w:cs="宋体"/>
                <w:b w:val="0"/>
                <w:bCs w:val="0"/>
                <w:color w:val="auto"/>
                <w:kern w:val="0"/>
                <w:szCs w:val="21"/>
              </w:rPr>
            </w:pPr>
            <w:r>
              <w:rPr>
                <w:rFonts w:hint="eastAsia" w:ascii="仿宋_GB2312" w:hAnsi="宋体" w:eastAsia="仿宋_GB2312" w:cs="宋体"/>
                <w:b w:val="0"/>
                <w:bCs w:val="0"/>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_GB2312" w:hAnsi="Calibri" w:eastAsia="仿宋_GB2312" w:cs="Calibri"/>
                <w:b w:val="0"/>
                <w:bCs w:val="0"/>
                <w:color w:val="auto"/>
                <w:kern w:val="0"/>
                <w:szCs w:val="21"/>
                <w:lang w:val="en-US" w:eastAsia="zh-CN"/>
              </w:rPr>
            </w:pPr>
            <w:r>
              <w:rPr>
                <w:rFonts w:hint="eastAsia" w:ascii="仿宋_GB2312" w:hAnsi="Calibri" w:eastAsia="仿宋_GB2312" w:cs="Calibri"/>
                <w:b w:val="0"/>
                <w:bCs w:val="0"/>
                <w:color w:val="auto"/>
                <w:kern w:val="0"/>
                <w:szCs w:val="21"/>
              </w:rPr>
              <w:t>　</w:t>
            </w:r>
            <w:r>
              <w:rPr>
                <w:rFonts w:hint="eastAsia" w:ascii="仿宋_GB2312" w:hAnsi="Calibri" w:eastAsia="仿宋_GB2312" w:cs="Calibri"/>
                <w:b w:val="0"/>
                <w:bCs w:val="0"/>
                <w:color w:val="auto"/>
                <w:kern w:val="0"/>
                <w:szCs w:val="21"/>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ascii="仿宋_GB2312" w:eastAsia="仿宋_GB2312"/>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黑体" w:hAnsi="黑体" w:eastAsia="黑体"/>
                <w:color w:val="auto"/>
                <w:szCs w:val="21"/>
              </w:rPr>
            </w:pPr>
            <w:r>
              <w:rPr>
                <w:rFonts w:hint="eastAsia" w:ascii="黑体" w:hAnsi="黑体" w:eastAsia="黑体"/>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Times New Roman" w:eastAsia="仿宋_GB2312"/>
                <w:color w:val="auto"/>
                <w:szCs w:val="21"/>
              </w:rPr>
            </w:pPr>
          </w:p>
        </w:tc>
        <w:tc>
          <w:tcPr>
            <w:tcW w:w="829"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黑体" w:hAnsi="黑体" w:eastAsia="黑体"/>
                <w:color w:val="auto"/>
                <w:szCs w:val="21"/>
              </w:rPr>
            </w:pPr>
            <w:r>
              <w:rPr>
                <w:rFonts w:hint="eastAsia" w:ascii="黑体" w:hAnsi="黑体" w:eastAsia="黑体"/>
                <w:color w:val="auto"/>
                <w:kern w:val="0"/>
                <w:szCs w:val="21"/>
              </w:rPr>
              <w:t>自然人</w:t>
            </w:r>
          </w:p>
        </w:tc>
        <w:tc>
          <w:tcPr>
            <w:tcW w:w="3140" w:type="dxa"/>
            <w:gridSpan w:val="5"/>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黑体" w:hAnsi="黑体" w:eastAsia="黑体"/>
                <w:color w:val="auto"/>
                <w:szCs w:val="21"/>
              </w:rPr>
            </w:pPr>
            <w:r>
              <w:rPr>
                <w:rFonts w:hint="eastAsia" w:ascii="黑体" w:hAnsi="黑体" w:eastAsia="黑体"/>
                <w:color w:val="auto"/>
                <w:kern w:val="0"/>
                <w:szCs w:val="21"/>
              </w:rPr>
              <w:t>法人或其他组织</w:t>
            </w:r>
          </w:p>
        </w:tc>
        <w:tc>
          <w:tcPr>
            <w:tcW w:w="85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黑体" w:hAnsi="黑体" w:eastAsia="黑体"/>
                <w:color w:val="auto"/>
                <w:szCs w:val="21"/>
              </w:rPr>
            </w:pPr>
            <w:r>
              <w:rPr>
                <w:rFonts w:hint="eastAsia" w:ascii="黑体" w:hAnsi="黑体" w:eastAsia="黑体"/>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Times New Roman" w:eastAsia="仿宋_GB2312"/>
                <w:color w:val="auto"/>
                <w:szCs w:val="21"/>
              </w:rPr>
            </w:pPr>
          </w:p>
        </w:tc>
        <w:tc>
          <w:tcPr>
            <w:tcW w:w="829"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黑体" w:hAnsi="黑体" w:eastAsia="黑体"/>
                <w:color w:val="auto"/>
                <w:szCs w:val="21"/>
              </w:rPr>
            </w:pP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106" w:leftChars="-51" w:right="-107" w:rightChars="-51" w:hanging="1"/>
              <w:jc w:val="center"/>
              <w:textAlignment w:val="auto"/>
              <w:outlineLvl w:val="9"/>
              <w:rPr>
                <w:rFonts w:ascii="黑体" w:hAnsi="黑体" w:eastAsia="黑体"/>
                <w:color w:val="auto"/>
                <w:szCs w:val="21"/>
              </w:rPr>
            </w:pPr>
            <w:r>
              <w:rPr>
                <w:rFonts w:hint="eastAsia" w:ascii="黑体" w:hAnsi="黑体" w:eastAsia="黑体"/>
                <w:color w:val="auto"/>
                <w:kern w:val="0"/>
                <w:szCs w:val="21"/>
              </w:rPr>
              <w:t>商业企业</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107" w:leftChars="-51" w:right="-107" w:rightChars="-51"/>
              <w:jc w:val="center"/>
              <w:textAlignment w:val="auto"/>
              <w:outlineLvl w:val="9"/>
              <w:rPr>
                <w:rFonts w:ascii="黑体" w:hAnsi="黑体" w:eastAsia="黑体"/>
                <w:color w:val="auto"/>
                <w:szCs w:val="21"/>
              </w:rPr>
            </w:pPr>
            <w:r>
              <w:rPr>
                <w:rFonts w:hint="eastAsia" w:ascii="黑体" w:hAnsi="黑体" w:eastAsia="黑体"/>
                <w:color w:val="auto"/>
                <w:kern w:val="0"/>
                <w:szCs w:val="21"/>
              </w:rPr>
              <w:t>科研机构</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107" w:leftChars="-51" w:right="-107" w:rightChars="-51"/>
              <w:jc w:val="center"/>
              <w:textAlignment w:val="auto"/>
              <w:outlineLvl w:val="9"/>
              <w:rPr>
                <w:rFonts w:ascii="黑体" w:hAnsi="黑体" w:eastAsia="黑体"/>
                <w:color w:val="auto"/>
                <w:szCs w:val="21"/>
              </w:rPr>
            </w:pPr>
            <w:r>
              <w:rPr>
                <w:rFonts w:hint="eastAsia" w:ascii="黑体" w:hAnsi="黑体" w:eastAsia="黑体"/>
                <w:color w:val="auto"/>
                <w:kern w:val="0"/>
                <w:szCs w:val="21"/>
              </w:rPr>
              <w:t>社会公益组织</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106" w:leftChars="-51" w:right="-107" w:rightChars="-51" w:hanging="1"/>
              <w:jc w:val="center"/>
              <w:textAlignment w:val="auto"/>
              <w:outlineLvl w:val="9"/>
              <w:rPr>
                <w:rFonts w:ascii="黑体" w:hAnsi="黑体" w:eastAsia="黑体"/>
                <w:color w:val="auto"/>
                <w:szCs w:val="21"/>
              </w:rPr>
            </w:pPr>
            <w:r>
              <w:rPr>
                <w:rFonts w:hint="eastAsia" w:ascii="黑体" w:hAnsi="黑体" w:eastAsia="黑体"/>
                <w:color w:val="auto"/>
                <w:kern w:val="0"/>
                <w:szCs w:val="21"/>
              </w:rPr>
              <w:t>法律服务机构</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63" w:leftChars="-30" w:right="-134" w:rightChars="-64"/>
              <w:jc w:val="center"/>
              <w:textAlignment w:val="auto"/>
              <w:outlineLvl w:val="9"/>
              <w:rPr>
                <w:rFonts w:ascii="黑体" w:hAnsi="黑体" w:eastAsia="黑体"/>
                <w:color w:val="auto"/>
                <w:szCs w:val="21"/>
              </w:rPr>
            </w:pPr>
            <w:r>
              <w:rPr>
                <w:rFonts w:hint="eastAsia" w:ascii="黑体" w:hAnsi="黑体" w:eastAsia="黑体"/>
                <w:color w:val="auto"/>
                <w:kern w:val="0"/>
                <w:szCs w:val="21"/>
              </w:rPr>
              <w:t>其他</w:t>
            </w:r>
          </w:p>
        </w:tc>
        <w:tc>
          <w:tcPr>
            <w:tcW w:w="85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Times New Roman" w:eastAsia="仿宋_GB2312"/>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b/>
                <w:bCs/>
                <w:color w:val="auto"/>
                <w:szCs w:val="21"/>
              </w:rPr>
            </w:pPr>
            <w:r>
              <w:rPr>
                <w:rFonts w:hint="eastAsia" w:ascii="黑体" w:hAnsi="黑体" w:eastAsia="黑体"/>
                <w:b/>
                <w:bCs/>
                <w:color w:val="auto"/>
                <w:kern w:val="0"/>
                <w:szCs w:val="21"/>
              </w:rPr>
              <w:t>一、</w:t>
            </w:r>
            <w:bookmarkStart w:id="0" w:name="_Hlk66973412"/>
            <w:r>
              <w:rPr>
                <w:rFonts w:hint="eastAsia" w:ascii="黑体" w:hAnsi="黑体" w:eastAsia="黑体"/>
                <w:b/>
                <w:bCs/>
                <w:color w:val="auto"/>
                <w:kern w:val="0"/>
                <w:szCs w:val="21"/>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textAlignment w:val="auto"/>
              <w:outlineLvl w:val="9"/>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r>
              <w:rPr>
                <w:rFonts w:hint="eastAsia" w:ascii="黑体" w:hAnsi="黑体" w:eastAsia="黑体"/>
                <w:color w:val="auto"/>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4677" w:type="dxa"/>
            <w:gridSpan w:val="2"/>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left="-107" w:leftChars="-51"/>
              <w:textAlignment w:val="auto"/>
              <w:outlineLvl w:val="9"/>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2" w:name="_Hlk66974104"/>
            <w:r>
              <w:rPr>
                <w:rFonts w:hint="eastAsia" w:ascii="仿宋_GB2312" w:hAnsi="黑体" w:eastAsia="仿宋_GB2312"/>
                <w:color w:val="auto"/>
                <w:kern w:val="0"/>
                <w:szCs w:val="21"/>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仿宋_GB2312" w:hAnsi="黑体" w:eastAsia="仿宋_GB2312"/>
                <w:color w:val="auto"/>
                <w:kern w:val="0"/>
                <w:szCs w:val="21"/>
              </w:rPr>
            </w:pPr>
            <w:r>
              <w:rPr>
                <w:rFonts w:hint="eastAsia" w:ascii="仿宋_GB2312" w:hAnsi="黑体" w:eastAsia="仿宋_GB2312"/>
                <w:color w:val="auto"/>
                <w:kern w:val="0"/>
                <w:szCs w:val="21"/>
              </w:rPr>
              <w:t>4.</w:t>
            </w:r>
            <w:bookmarkStart w:id="3" w:name="_Hlk66974290"/>
            <w:r>
              <w:rPr>
                <w:rFonts w:hint="eastAsia" w:ascii="仿宋_GB2312" w:hAnsi="黑体" w:eastAsia="仿宋_GB2312"/>
                <w:color w:val="auto"/>
                <w:kern w:val="0"/>
                <w:szCs w:val="21"/>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仿宋_GB2312" w:hAnsi="黑体" w:eastAsia="仿宋_GB2312"/>
                <w:color w:val="auto"/>
                <w:kern w:val="0"/>
                <w:szCs w:val="21"/>
              </w:rPr>
            </w:pPr>
            <w:r>
              <w:rPr>
                <w:rFonts w:hint="eastAsia" w:ascii="仿宋_GB2312" w:hAnsi="黑体" w:eastAsia="仿宋_GB2312"/>
                <w:color w:val="auto"/>
                <w:kern w:val="0"/>
                <w:szCs w:val="21"/>
              </w:rPr>
              <w:t>6.</w:t>
            </w:r>
            <w:bookmarkStart w:id="4" w:name="_Hlk66974555"/>
            <w:r>
              <w:rPr>
                <w:rFonts w:hint="eastAsia" w:ascii="仿宋_GB2312" w:hAnsi="黑体" w:eastAsia="仿宋_GB2312"/>
                <w:color w:val="auto"/>
                <w:kern w:val="0"/>
                <w:szCs w:val="21"/>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仿宋_GB2312" w:hAnsi="黑体" w:eastAsia="仿宋_GB2312"/>
                <w:color w:val="auto"/>
                <w:kern w:val="0"/>
                <w:szCs w:val="21"/>
              </w:rPr>
            </w:pPr>
            <w:r>
              <w:rPr>
                <w:rFonts w:hint="eastAsia" w:ascii="仿宋_GB2312" w:hAnsi="黑体" w:eastAsia="仿宋_GB2312"/>
                <w:color w:val="auto"/>
                <w:kern w:val="0"/>
                <w:szCs w:val="21"/>
              </w:rPr>
              <w:t>8.</w:t>
            </w:r>
            <w:bookmarkStart w:id="5" w:name="_Hlk66975211"/>
            <w:r>
              <w:rPr>
                <w:rFonts w:hint="eastAsia" w:ascii="仿宋_GB2312" w:hAnsi="黑体" w:eastAsia="仿宋_GB2312"/>
                <w:color w:val="auto"/>
                <w:kern w:val="0"/>
                <w:szCs w:val="21"/>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left="-107" w:leftChars="-51"/>
              <w:textAlignment w:val="auto"/>
              <w:outlineLvl w:val="9"/>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left="-107" w:leftChars="-51"/>
              <w:textAlignment w:val="auto"/>
              <w:outlineLvl w:val="9"/>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6" w:name="_Hlk66975392"/>
            <w:r>
              <w:rPr>
                <w:rFonts w:hint="eastAsia" w:ascii="仿宋_GB2312" w:hAnsi="黑体" w:eastAsia="仿宋_GB2312"/>
                <w:color w:val="auto"/>
                <w:kern w:val="0"/>
                <w:szCs w:val="21"/>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left="-107" w:leftChars="-51"/>
              <w:textAlignment w:val="auto"/>
              <w:outlineLvl w:val="9"/>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7" w:name="_Hlk66975466"/>
            <w:r>
              <w:rPr>
                <w:rFonts w:hint="eastAsia" w:ascii="仿宋_GB2312" w:hAnsi="黑体" w:eastAsia="仿宋_GB2312"/>
                <w:color w:val="auto"/>
                <w:kern w:val="0"/>
                <w:szCs w:val="21"/>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left="-107" w:leftChars="-51"/>
              <w:textAlignment w:val="auto"/>
              <w:outlineLvl w:val="9"/>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8" w:name="_Hlk66975537"/>
            <w:r>
              <w:rPr>
                <w:rFonts w:hint="eastAsia" w:ascii="仿宋_GB2312" w:hAnsi="黑体" w:eastAsia="仿宋_GB2312"/>
                <w:color w:val="auto"/>
                <w:kern w:val="0"/>
                <w:szCs w:val="21"/>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outlineLvl w:val="9"/>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黑体" w:hAnsi="黑体" w:eastAsia="黑体"/>
                <w:color w:val="auto"/>
                <w:kern w:val="0"/>
                <w:szCs w:val="21"/>
              </w:rPr>
            </w:pPr>
          </w:p>
        </w:tc>
        <w:tc>
          <w:tcPr>
            <w:tcW w:w="29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黑体" w:hAnsi="黑体" w:eastAsia="黑体"/>
                <w:color w:val="auto"/>
                <w:kern w:val="0"/>
                <w:szCs w:val="21"/>
              </w:rPr>
            </w:pPr>
          </w:p>
        </w:tc>
        <w:tc>
          <w:tcPr>
            <w:tcW w:w="29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仿宋_GB2312" w:hAnsi="黑体" w:eastAsia="仿宋_GB2312"/>
                <w:color w:val="auto"/>
                <w:kern w:val="0"/>
                <w:szCs w:val="21"/>
              </w:rPr>
            </w:pPr>
            <w:r>
              <w:rPr>
                <w:rFonts w:hint="eastAsia" w:ascii="仿宋_GB2312" w:hAnsi="楷体" w:eastAsia="仿宋_GB2312"/>
                <w:color w:val="auto"/>
              </w:rPr>
              <w:t>3.其他</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Cs w:val="21"/>
              </w:rPr>
            </w:pPr>
          </w:p>
        </w:tc>
        <w:tc>
          <w:tcPr>
            <w:tcW w:w="4677" w:type="dxa"/>
            <w:gridSpan w:val="2"/>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黑体" w:hAnsi="黑体" w:eastAsia="黑体"/>
                <w:color w:val="auto"/>
                <w:kern w:val="0"/>
                <w:szCs w:val="21"/>
              </w:rPr>
            </w:pPr>
            <w:r>
              <w:rPr>
                <w:rFonts w:hint="eastAsia" w:ascii="黑体" w:hAnsi="黑体" w:eastAsia="黑体"/>
                <w:color w:val="auto"/>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149" w:leftChars="-71" w:right="-170" w:rightChars="-81"/>
              <w:jc w:val="center"/>
              <w:textAlignment w:val="auto"/>
              <w:outlineLvl w:val="9"/>
              <w:rPr>
                <w:rFonts w:ascii="黑体" w:hAnsi="黑体" w:eastAsia="黑体"/>
                <w:color w:val="auto"/>
                <w:kern w:val="0"/>
                <w:sz w:val="20"/>
                <w:szCs w:val="20"/>
              </w:rPr>
            </w:pPr>
            <w:r>
              <w:rPr>
                <w:rFonts w:ascii="黑体" w:hAnsi="黑体" w:eastAsia="黑体"/>
                <w:color w:val="auto"/>
                <w:kern w:val="0"/>
                <w:sz w:val="20"/>
                <w:szCs w:val="20"/>
              </w:rPr>
              <w:t>结果</w:t>
            </w:r>
          </w:p>
          <w:p>
            <w:pPr>
              <w:keepNext w:val="0"/>
              <w:keepLines w:val="0"/>
              <w:pageBreakBefore w:val="0"/>
              <w:widowControl w:val="0"/>
              <w:kinsoku/>
              <w:wordWrap/>
              <w:overflowPunct/>
              <w:topLinePunct w:val="0"/>
              <w:autoSpaceDE/>
              <w:autoSpaceDN/>
              <w:bidi w:val="0"/>
              <w:adjustRightInd/>
              <w:snapToGrid/>
              <w:ind w:left="-149" w:leftChars="-71" w:right="-170" w:rightChars="-81"/>
              <w:jc w:val="center"/>
              <w:textAlignment w:val="auto"/>
              <w:outlineLvl w:val="9"/>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43" w:leftChars="-21" w:right="-132" w:rightChars="-63" w:hanging="1"/>
              <w:jc w:val="center"/>
              <w:textAlignment w:val="auto"/>
              <w:outlineLvl w:val="9"/>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82" w:leftChars="-39" w:right="-97" w:rightChars="-46"/>
              <w:jc w:val="center"/>
              <w:textAlignment w:val="auto"/>
              <w:outlineLvl w:val="9"/>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118" w:leftChars="-56" w:right="-118" w:rightChars="-56"/>
              <w:jc w:val="center"/>
              <w:textAlignment w:val="auto"/>
              <w:outlineLvl w:val="9"/>
              <w:rPr>
                <w:rFonts w:ascii="黑体" w:hAnsi="黑体" w:eastAsia="黑体"/>
                <w:color w:val="auto"/>
                <w:kern w:val="0"/>
                <w:sz w:val="20"/>
                <w:szCs w:val="20"/>
              </w:rPr>
            </w:pPr>
            <w:r>
              <w:rPr>
                <w:rFonts w:ascii="黑体" w:hAnsi="黑体" w:eastAsia="黑体"/>
                <w:color w:val="auto"/>
                <w:kern w:val="0"/>
                <w:sz w:val="20"/>
                <w:szCs w:val="20"/>
              </w:rPr>
              <w:t>尚未</w:t>
            </w:r>
          </w:p>
          <w:p>
            <w:pPr>
              <w:keepNext w:val="0"/>
              <w:keepLines w:val="0"/>
              <w:pageBreakBefore w:val="0"/>
              <w:widowControl w:val="0"/>
              <w:kinsoku/>
              <w:wordWrap/>
              <w:overflowPunct/>
              <w:topLinePunct w:val="0"/>
              <w:autoSpaceDE/>
              <w:autoSpaceDN/>
              <w:bidi w:val="0"/>
              <w:adjustRightInd/>
              <w:snapToGrid/>
              <w:ind w:left="-118" w:leftChars="-56" w:right="-118" w:rightChars="-56"/>
              <w:jc w:val="center"/>
              <w:textAlignment w:val="auto"/>
              <w:outlineLvl w:val="9"/>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黑体" w:hAnsi="黑体" w:eastAsia="黑体"/>
                <w:color w:val="auto"/>
                <w:kern w:val="0"/>
                <w:sz w:val="20"/>
                <w:szCs w:val="20"/>
              </w:rPr>
            </w:pPr>
            <w:r>
              <w:rPr>
                <w:rFonts w:ascii="黑体" w:hAnsi="黑体" w:eastAsia="黑体"/>
                <w:color w:val="auto"/>
                <w:kern w:val="0"/>
                <w:sz w:val="20"/>
                <w:szCs w:val="20"/>
              </w:rPr>
              <w:t>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105" w:leftChars="-50" w:right="-126" w:rightChars="-60"/>
              <w:jc w:val="center"/>
              <w:textAlignment w:val="auto"/>
              <w:outlineLvl w:val="9"/>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86" w:leftChars="-41" w:right="-88" w:rightChars="-42"/>
              <w:jc w:val="center"/>
              <w:textAlignment w:val="auto"/>
              <w:outlineLvl w:val="9"/>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126" w:leftChars="-60" w:right="-136" w:rightChars="-65"/>
              <w:jc w:val="center"/>
              <w:textAlignment w:val="auto"/>
              <w:outlineLvl w:val="9"/>
              <w:rPr>
                <w:rFonts w:ascii="黑体" w:hAnsi="黑体" w:eastAsia="黑体"/>
                <w:color w:val="auto"/>
                <w:kern w:val="0"/>
                <w:sz w:val="20"/>
                <w:szCs w:val="20"/>
              </w:rPr>
            </w:pPr>
            <w:r>
              <w:rPr>
                <w:rFonts w:ascii="黑体" w:hAnsi="黑体" w:eastAsia="黑体"/>
                <w:color w:val="auto"/>
                <w:kern w:val="0"/>
                <w:sz w:val="20"/>
                <w:szCs w:val="20"/>
              </w:rPr>
              <w:t>其他</w:t>
            </w:r>
          </w:p>
          <w:p>
            <w:pPr>
              <w:keepNext w:val="0"/>
              <w:keepLines w:val="0"/>
              <w:pageBreakBefore w:val="0"/>
              <w:widowControl w:val="0"/>
              <w:kinsoku/>
              <w:wordWrap/>
              <w:overflowPunct/>
              <w:topLinePunct w:val="0"/>
              <w:autoSpaceDE/>
              <w:autoSpaceDN/>
              <w:bidi w:val="0"/>
              <w:adjustRightInd/>
              <w:snapToGrid/>
              <w:ind w:left="-126" w:leftChars="-60" w:right="-136" w:rightChars="-65"/>
              <w:jc w:val="center"/>
              <w:textAlignment w:val="auto"/>
              <w:outlineLvl w:val="9"/>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164" w:leftChars="-78" w:right="-153" w:rightChars="-73"/>
              <w:jc w:val="center"/>
              <w:textAlignment w:val="auto"/>
              <w:outlineLvl w:val="9"/>
              <w:rPr>
                <w:rFonts w:ascii="黑体" w:hAnsi="黑体" w:eastAsia="黑体"/>
                <w:color w:val="auto"/>
                <w:kern w:val="0"/>
                <w:sz w:val="20"/>
                <w:szCs w:val="20"/>
              </w:rPr>
            </w:pPr>
            <w:r>
              <w:rPr>
                <w:rFonts w:ascii="黑体" w:hAnsi="黑体" w:eastAsia="黑体"/>
                <w:color w:val="auto"/>
                <w:kern w:val="0"/>
                <w:sz w:val="20"/>
                <w:szCs w:val="20"/>
              </w:rPr>
              <w:t>尚未</w:t>
            </w:r>
          </w:p>
          <w:p>
            <w:pPr>
              <w:keepNext w:val="0"/>
              <w:keepLines w:val="0"/>
              <w:pageBreakBefore w:val="0"/>
              <w:widowControl w:val="0"/>
              <w:kinsoku/>
              <w:wordWrap/>
              <w:overflowPunct/>
              <w:topLinePunct w:val="0"/>
              <w:autoSpaceDE/>
              <w:autoSpaceDN/>
              <w:bidi w:val="0"/>
              <w:adjustRightInd/>
              <w:snapToGrid/>
              <w:ind w:left="-164" w:leftChars="-78" w:right="-153" w:rightChars="-73"/>
              <w:jc w:val="center"/>
              <w:textAlignment w:val="auto"/>
              <w:outlineLvl w:val="9"/>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99" w:leftChars="-47" w:right="-78" w:rightChars="-37"/>
              <w:jc w:val="center"/>
              <w:textAlignment w:val="auto"/>
              <w:outlineLvl w:val="9"/>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136" w:leftChars="-65" w:right="-124" w:rightChars="-59"/>
              <w:jc w:val="center"/>
              <w:textAlignment w:val="auto"/>
              <w:outlineLvl w:val="9"/>
              <w:rPr>
                <w:rFonts w:ascii="黑体" w:hAnsi="黑体" w:eastAsia="黑体"/>
                <w:color w:val="auto"/>
                <w:kern w:val="0"/>
                <w:sz w:val="20"/>
                <w:szCs w:val="20"/>
              </w:rPr>
            </w:pPr>
            <w:r>
              <w:rPr>
                <w:rFonts w:ascii="黑体" w:hAnsi="黑体" w:eastAsia="黑体"/>
                <w:color w:val="auto"/>
                <w:kern w:val="0"/>
                <w:sz w:val="20"/>
                <w:szCs w:val="20"/>
              </w:rPr>
              <w:t>结果</w:t>
            </w:r>
          </w:p>
          <w:p>
            <w:pPr>
              <w:keepNext w:val="0"/>
              <w:keepLines w:val="0"/>
              <w:pageBreakBefore w:val="0"/>
              <w:widowControl w:val="0"/>
              <w:kinsoku/>
              <w:wordWrap/>
              <w:overflowPunct/>
              <w:topLinePunct w:val="0"/>
              <w:autoSpaceDE/>
              <w:autoSpaceDN/>
              <w:bidi w:val="0"/>
              <w:adjustRightInd/>
              <w:snapToGrid/>
              <w:ind w:left="-136" w:leftChars="-65" w:right="-124" w:rightChars="-59"/>
              <w:jc w:val="center"/>
              <w:textAlignment w:val="auto"/>
              <w:outlineLvl w:val="9"/>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173" w:leftChars="-83" w:right="-134" w:rightChars="-64" w:hanging="1"/>
              <w:jc w:val="center"/>
              <w:textAlignment w:val="auto"/>
              <w:outlineLvl w:val="9"/>
              <w:rPr>
                <w:rFonts w:ascii="黑体" w:hAnsi="黑体" w:eastAsia="黑体"/>
                <w:color w:val="auto"/>
                <w:kern w:val="0"/>
                <w:sz w:val="20"/>
                <w:szCs w:val="20"/>
              </w:rPr>
            </w:pPr>
            <w:r>
              <w:rPr>
                <w:rFonts w:ascii="黑体" w:hAnsi="黑体" w:eastAsia="黑体"/>
                <w:color w:val="auto"/>
                <w:kern w:val="0"/>
                <w:sz w:val="20"/>
                <w:szCs w:val="20"/>
              </w:rPr>
              <w:t>其他</w:t>
            </w:r>
          </w:p>
          <w:p>
            <w:pPr>
              <w:keepNext w:val="0"/>
              <w:keepLines w:val="0"/>
              <w:pageBreakBefore w:val="0"/>
              <w:widowControl w:val="0"/>
              <w:kinsoku/>
              <w:wordWrap/>
              <w:overflowPunct/>
              <w:topLinePunct w:val="0"/>
              <w:autoSpaceDE/>
              <w:autoSpaceDN/>
              <w:bidi w:val="0"/>
              <w:adjustRightInd/>
              <w:snapToGrid/>
              <w:ind w:left="-173" w:leftChars="-83" w:right="-134" w:rightChars="-64" w:hanging="1"/>
              <w:jc w:val="center"/>
              <w:textAlignment w:val="auto"/>
              <w:outlineLvl w:val="9"/>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left="-67" w:leftChars="-33" w:right="-105" w:rightChars="-50" w:hanging="2" w:hangingChars="1"/>
              <w:jc w:val="center"/>
              <w:textAlignment w:val="auto"/>
              <w:outlineLvl w:val="9"/>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textAlignment w:val="auto"/>
              <w:outlineLvl w:val="9"/>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jc w:val="center"/>
              <w:textAlignment w:val="auto"/>
              <w:outlineLvl w:val="9"/>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ascii="微软雅黑" w:hAnsi="微软雅黑" w:eastAsia="微软雅黑" w:cs="微软雅黑"/>
          <w:i w:val="0"/>
          <w:caps w:val="0"/>
          <w:color w:val="auto"/>
          <w:spacing w:val="0"/>
          <w:sz w:val="24"/>
          <w:szCs w:val="24"/>
        </w:rPr>
      </w:pPr>
      <w:r>
        <w:rPr>
          <w:rFonts w:ascii="黑体" w:hAnsi="宋体" w:eastAsia="黑体" w:cs="黑体"/>
          <w:i w:val="0"/>
          <w:caps w:val="0"/>
          <w:color w:val="auto"/>
          <w:spacing w:val="0"/>
          <w:kern w:val="0"/>
          <w:sz w:val="32"/>
          <w:szCs w:val="32"/>
          <w:shd w:val="clear" w:fill="FFFFFF"/>
          <w:lang w:val="en-US" w:eastAsia="zh-CN" w:bidi="ar"/>
        </w:rPr>
        <w:t>五、存在的主要问题及改进情况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color w:val="auto"/>
          <w:sz w:val="24"/>
          <w:szCs w:val="24"/>
        </w:rPr>
      </w:pPr>
      <w:r>
        <w:rPr>
          <w:rFonts w:hint="eastAsia" w:ascii="仿宋" w:hAnsi="Ã¥Â¾Â®Ã¨Â½Â¯Ã©â€ºâ€¦Ã©Â»â€˜" w:eastAsia="仿宋" w:cs="仿宋"/>
          <w:i w:val="0"/>
          <w:caps w:val="0"/>
          <w:color w:val="auto"/>
          <w:spacing w:val="0"/>
          <w:sz w:val="32"/>
          <w:szCs w:val="32"/>
          <w:shd w:val="clear" w:fill="FFFFFF"/>
        </w:rPr>
        <w:t>我局政务公开工作虽取得了一定的成绩，但仍然还有不足和需要改进的问题</w:t>
      </w:r>
      <w:r>
        <w:rPr>
          <w:rFonts w:hint="eastAsia" w:ascii="仿宋" w:hAnsi="Ã¥Â¾Â®Ã¨Â½Â¯Ã©â€ºâ€¦Ã©Â»â€˜" w:eastAsia="仿宋" w:cs="仿宋"/>
          <w:i w:val="0"/>
          <w:caps w:val="0"/>
          <w:color w:val="auto"/>
          <w:spacing w:val="0"/>
          <w:sz w:val="32"/>
          <w:szCs w:val="32"/>
          <w:shd w:val="clear" w:fill="FFFFFF"/>
          <w:lang w:eastAsia="zh-CN"/>
        </w:rPr>
        <w:t>，如</w:t>
      </w:r>
      <w:r>
        <w:rPr>
          <w:rFonts w:hint="eastAsia" w:ascii="仿宋_GB2312" w:eastAsia="仿宋_GB2312" w:cs="仿宋_GB2312" w:hAnsiTheme="minorHAnsi"/>
          <w:i w:val="0"/>
          <w:caps w:val="0"/>
          <w:color w:val="auto"/>
          <w:spacing w:val="0"/>
          <w:kern w:val="0"/>
          <w:sz w:val="32"/>
          <w:szCs w:val="32"/>
          <w:shd w:val="clear" w:fill="FFFFFF"/>
          <w:lang w:val="en-US" w:eastAsia="zh-CN" w:bidi="ar"/>
        </w:rPr>
        <w:t>政务公开业务培训开展不充分</w:t>
      </w:r>
      <w:r>
        <w:rPr>
          <w:rFonts w:hint="eastAsia" w:ascii="仿宋_GB2312" w:eastAsia="仿宋_GB2312" w:cs="仿宋_GB2312"/>
          <w:i w:val="0"/>
          <w:caps w:val="0"/>
          <w:color w:val="auto"/>
          <w:spacing w:val="0"/>
          <w:kern w:val="0"/>
          <w:sz w:val="32"/>
          <w:szCs w:val="32"/>
          <w:shd w:val="clear" w:fill="FFFFFF"/>
          <w:lang w:val="en-US" w:eastAsia="zh-CN" w:bidi="ar"/>
        </w:rPr>
        <w:t>。</w:t>
      </w:r>
      <w:r>
        <w:rPr>
          <w:rFonts w:hint="eastAsia" w:ascii="仿宋_GB2312" w:eastAsia="仿宋_GB2312" w:cs="仿宋_GB2312" w:hAnsiTheme="minorHAnsi"/>
          <w:i w:val="0"/>
          <w:caps w:val="0"/>
          <w:color w:val="auto"/>
          <w:spacing w:val="0"/>
          <w:kern w:val="0"/>
          <w:sz w:val="32"/>
          <w:szCs w:val="32"/>
          <w:shd w:val="clear" w:fill="FFFFFF"/>
          <w:lang w:val="en-US" w:eastAsia="zh-CN" w:bidi="ar"/>
        </w:rPr>
        <w:t>202</w:t>
      </w:r>
      <w:r>
        <w:rPr>
          <w:rFonts w:hint="eastAsia" w:ascii="仿宋_GB2312" w:eastAsia="仿宋_GB2312" w:cs="仿宋_GB2312"/>
          <w:i w:val="0"/>
          <w:caps w:val="0"/>
          <w:color w:val="auto"/>
          <w:spacing w:val="0"/>
          <w:kern w:val="0"/>
          <w:sz w:val="32"/>
          <w:szCs w:val="32"/>
          <w:shd w:val="clear" w:fill="FFFFFF"/>
          <w:lang w:val="en-US" w:eastAsia="zh-CN" w:bidi="ar"/>
        </w:rPr>
        <w:t>2</w:t>
      </w:r>
      <w:r>
        <w:rPr>
          <w:rFonts w:hint="eastAsia" w:ascii="仿宋_GB2312" w:eastAsia="仿宋_GB2312" w:cs="仿宋_GB2312" w:hAnsiTheme="minorHAnsi"/>
          <w:i w:val="0"/>
          <w:caps w:val="0"/>
          <w:color w:val="auto"/>
          <w:spacing w:val="0"/>
          <w:kern w:val="0"/>
          <w:sz w:val="32"/>
          <w:szCs w:val="32"/>
          <w:shd w:val="clear" w:fill="FFFFFF"/>
          <w:lang w:val="en-US" w:eastAsia="zh-CN" w:bidi="ar"/>
        </w:rPr>
        <w:t>年度我局仅对局政务公开相关负责同志进行培训，培训范围未能实现全员覆盖，导致出现政务公开与相关业务衔接不畅，数据反馈不及时等问题。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color w:val="auto"/>
          <w:sz w:val="24"/>
          <w:szCs w:val="24"/>
        </w:rPr>
      </w:pPr>
      <w:r>
        <w:rPr>
          <w:rFonts w:hint="eastAsia" w:ascii="仿宋_GB2312" w:eastAsia="仿宋_GB2312" w:cs="仿宋_GB2312" w:hAnsiTheme="minorHAnsi"/>
          <w:i w:val="0"/>
          <w:caps w:val="0"/>
          <w:color w:val="auto"/>
          <w:spacing w:val="0"/>
          <w:kern w:val="0"/>
          <w:sz w:val="32"/>
          <w:szCs w:val="32"/>
          <w:shd w:val="clear" w:fill="FFFFFF"/>
          <w:lang w:val="en-US" w:eastAsia="zh-CN" w:bidi="ar"/>
        </w:rPr>
        <w:t>一是加强本级培训，切实提高我局对《政府信息公开条例》及相关工作的组织培训力度，将政务公开作为本局的重要工作内容，加强对工作人员的政务公开业务培训。二是加强联动，积极同区政府、上级审批部门等单位开展对标学习，及时公开政务信息，公开内容做到真实、具体、全面，进一步提高工作质量、态度、时效。</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outlineLvl w:val="9"/>
        <w:rPr>
          <w:rFonts w:hint="eastAsia" w:ascii="黑体" w:hAnsi="宋体" w:eastAsia="黑体" w:cs="黑体"/>
          <w:i w:val="0"/>
          <w:caps w:val="0"/>
          <w:color w:val="auto"/>
          <w:spacing w:val="0"/>
          <w:kern w:val="0"/>
          <w:sz w:val="32"/>
          <w:szCs w:val="32"/>
          <w:shd w:val="clear" w:fill="FFFFFF"/>
          <w:lang w:val="en-US" w:eastAsia="zh-CN" w:bidi="ar"/>
        </w:rPr>
      </w:pPr>
      <w:r>
        <w:rPr>
          <w:rFonts w:hint="eastAsia" w:ascii="黑体" w:hAnsi="宋体" w:eastAsia="黑体" w:cs="黑体"/>
          <w:i w:val="0"/>
          <w:caps w:val="0"/>
          <w:color w:val="auto"/>
          <w:spacing w:val="0"/>
          <w:kern w:val="0"/>
          <w:sz w:val="32"/>
          <w:szCs w:val="32"/>
          <w:shd w:val="clear" w:fill="FFFFFF"/>
          <w:lang w:val="en-US" w:eastAsia="zh-CN" w:bidi="ar"/>
        </w:rPr>
        <w:t>六、其他需要报告的事项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outlineLvl w:val="9"/>
        <w:rPr>
          <w:rFonts w:hint="eastAsia" w:ascii="仿宋_GB2312" w:hAnsi="Ã¥Â¾Â®Ã¨Â½Â¯Ã©â€ºâ€¦Ã©Â»â€˜" w:eastAsia="仿宋_GB2312" w:cs="仿宋_GB2312"/>
          <w:i w:val="0"/>
          <w:iCs w:val="0"/>
          <w:caps w:val="0"/>
          <w:color w:val="000000"/>
          <w:spacing w:val="0"/>
          <w:sz w:val="32"/>
          <w:szCs w:val="32"/>
        </w:rPr>
      </w:pPr>
      <w:r>
        <w:rPr>
          <w:rFonts w:ascii="楷体" w:hAnsi="楷体" w:eastAsia="楷体" w:cs="楷体"/>
          <w:b w:val="0"/>
          <w:bCs w:val="0"/>
          <w:i w:val="0"/>
          <w:iCs w:val="0"/>
          <w:caps w:val="0"/>
          <w:color w:val="000000"/>
          <w:spacing w:val="0"/>
          <w:sz w:val="32"/>
          <w:szCs w:val="32"/>
          <w:shd w:val="clear" w:fill="FFFFFF"/>
        </w:rPr>
        <w:t>一是</w:t>
      </w:r>
      <w:r>
        <w:rPr>
          <w:rFonts w:hint="eastAsia" w:ascii="楷体" w:hAnsi="楷体" w:eastAsia="楷体" w:cs="楷体"/>
          <w:i w:val="0"/>
          <w:iCs w:val="0"/>
          <w:caps w:val="0"/>
          <w:color w:val="000000"/>
          <w:spacing w:val="0"/>
          <w:sz w:val="32"/>
          <w:szCs w:val="32"/>
          <w:shd w:val="clear" w:fill="FFFFFF"/>
        </w:rPr>
        <w:t>收取信息处理费情况方面</w:t>
      </w:r>
      <w:r>
        <w:rPr>
          <w:rFonts w:ascii="仿宋_GB2312" w:hAnsi="Ã¥Â¾Â®Ã¨Â½Â¯Ã©â€ºâ€¦Ã©Â»â€˜" w:eastAsia="仿宋_GB2312" w:cs="仿宋_GB2312"/>
          <w:i w:val="0"/>
          <w:iCs w:val="0"/>
          <w:caps w:val="0"/>
          <w:color w:val="000000"/>
          <w:spacing w:val="0"/>
          <w:sz w:val="32"/>
          <w:szCs w:val="32"/>
          <w:shd w:val="clear" w:fill="FFFFFF"/>
        </w:rPr>
        <w:t>。</w:t>
      </w:r>
      <w:r>
        <w:rPr>
          <w:rFonts w:hint="eastAsia" w:ascii="仿宋_GB2312" w:hAnsi="Calibri" w:eastAsia="仿宋_GB2312" w:cs="仿宋_GB2312"/>
          <w:i w:val="0"/>
          <w:iCs w:val="0"/>
          <w:caps w:val="0"/>
          <w:color w:val="000000"/>
          <w:spacing w:val="0"/>
          <w:sz w:val="32"/>
          <w:szCs w:val="32"/>
          <w:shd w:val="clear" w:fill="FFFFFF"/>
        </w:rPr>
        <w:t>2022</w:t>
      </w:r>
      <w:r>
        <w:rPr>
          <w:rFonts w:hint="eastAsia" w:ascii="仿宋_GB2312" w:hAnsi="Ã¥Â¾Â®Ã¨Â½Â¯Ã©â€ºâ€¦Ã©Â»â€˜" w:eastAsia="仿宋_GB2312" w:cs="仿宋_GB2312"/>
          <w:i w:val="0"/>
          <w:iCs w:val="0"/>
          <w:caps w:val="0"/>
          <w:color w:val="000000"/>
          <w:spacing w:val="0"/>
          <w:sz w:val="32"/>
          <w:szCs w:val="32"/>
        </w:rPr>
        <w:t>年，区</w:t>
      </w:r>
      <w:r>
        <w:rPr>
          <w:rFonts w:hint="eastAsia" w:ascii="仿宋_GB2312" w:hAnsi="Ã¥Â¾Â®Ã¨Â½Â¯Ã©â€ºâ€¦Ã©Â»â€˜" w:eastAsia="仿宋_GB2312" w:cs="仿宋_GB2312"/>
          <w:i w:val="0"/>
          <w:iCs w:val="0"/>
          <w:caps w:val="0"/>
          <w:color w:val="000000"/>
          <w:spacing w:val="0"/>
          <w:sz w:val="32"/>
          <w:szCs w:val="32"/>
          <w:lang w:eastAsia="zh-CN"/>
        </w:rPr>
        <w:t>行政审批服务局</w:t>
      </w:r>
      <w:r>
        <w:rPr>
          <w:rFonts w:hint="eastAsia" w:ascii="仿宋_GB2312" w:hAnsi="Ã¥Â¾Â®Ã¨Â½Â¯Ã©â€ºâ€¦Ã©Â»â€˜" w:eastAsia="仿宋_GB2312" w:cs="仿宋_GB2312"/>
          <w:i w:val="0"/>
          <w:iCs w:val="0"/>
          <w:caps w:val="0"/>
          <w:color w:val="000000"/>
          <w:spacing w:val="0"/>
          <w:sz w:val="32"/>
          <w:szCs w:val="32"/>
        </w:rPr>
        <w:t>不存在因信息处理收取相关费用的情况。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outlineLvl w:val="9"/>
        <w:rPr>
          <w:rFonts w:hint="eastAsia" w:ascii="仿宋_GB2312" w:eastAsia="仿宋_GB2312" w:cs="仿宋_GB2312" w:hAnsiTheme="minorHAnsi"/>
          <w:i w:val="0"/>
          <w:caps w:val="0"/>
          <w:color w:val="auto"/>
          <w:spacing w:val="0"/>
          <w:kern w:val="0"/>
          <w:sz w:val="32"/>
          <w:szCs w:val="32"/>
          <w:shd w:val="clear" w:fill="FFFFFF"/>
          <w:lang w:val="en-US" w:eastAsia="zh-CN" w:bidi="ar"/>
        </w:rPr>
      </w:pPr>
      <w:r>
        <w:rPr>
          <w:rFonts w:hint="eastAsia" w:ascii="楷体" w:hAnsi="楷体" w:eastAsia="楷体" w:cs="楷体"/>
          <w:i w:val="0"/>
          <w:iCs w:val="0"/>
          <w:caps w:val="0"/>
          <w:color w:val="000000"/>
          <w:spacing w:val="0"/>
          <w:sz w:val="32"/>
          <w:szCs w:val="32"/>
          <w:shd w:val="clear" w:fill="FFFFFF"/>
        </w:rPr>
        <w:t>二是落实上级年度政务公开工作要点情况</w:t>
      </w:r>
      <w:r>
        <w:rPr>
          <w:rFonts w:hint="eastAsia" w:ascii="仿宋_GB2312" w:hAnsi="Ã¥Â¾Â®Ã¨Â½Â¯Ã©â€ºâ€¦Ã©Â»â€˜" w:eastAsia="仿宋_GB2312" w:cs="仿宋_GB2312"/>
          <w:i w:val="0"/>
          <w:iCs w:val="0"/>
          <w:caps w:val="0"/>
          <w:color w:val="000000"/>
          <w:spacing w:val="0"/>
          <w:sz w:val="32"/>
          <w:szCs w:val="32"/>
          <w:shd w:val="clear" w:fill="FFFFFF"/>
        </w:rPr>
        <w:t>。强化日常工作调度，</w:t>
      </w:r>
      <w:r>
        <w:rPr>
          <w:rFonts w:hint="eastAsia" w:ascii="仿宋_GB2312" w:hAnsi="Ã¥Â¾Â®Ã¨Â½Â¯Ã©â€ºâ€¦Ã©Â»â€˜" w:eastAsia="仿宋_GB2312" w:cs="仿宋_GB2312"/>
          <w:i w:val="0"/>
          <w:iCs w:val="0"/>
          <w:caps w:val="0"/>
          <w:color w:val="000000"/>
          <w:spacing w:val="0"/>
          <w:sz w:val="32"/>
          <w:szCs w:val="32"/>
          <w:shd w:val="clear" w:fill="FFFFFF"/>
          <w:lang w:eastAsia="zh-CN"/>
        </w:rPr>
        <w:t>全局各科室按政务公开工作要</w:t>
      </w:r>
      <w:r>
        <w:rPr>
          <w:rFonts w:hint="eastAsia" w:ascii="仿宋_GB2312" w:eastAsia="仿宋_GB2312" w:cs="仿宋_GB2312" w:hAnsiTheme="minorHAnsi"/>
          <w:i w:val="0"/>
          <w:caps w:val="0"/>
          <w:color w:val="auto"/>
          <w:spacing w:val="0"/>
          <w:kern w:val="0"/>
          <w:sz w:val="32"/>
          <w:szCs w:val="32"/>
          <w:shd w:val="clear" w:fill="FFFFFF"/>
          <w:lang w:val="en-US" w:eastAsia="zh-CN" w:bidi="ar"/>
        </w:rPr>
        <w:t>求落实政府信息</w:t>
      </w:r>
      <w:r>
        <w:rPr>
          <w:rFonts w:hint="default" w:ascii="仿宋_GB2312" w:eastAsia="仿宋_GB2312" w:cs="仿宋_GB2312" w:hAnsiTheme="minorHAnsi"/>
          <w:i w:val="0"/>
          <w:caps w:val="0"/>
          <w:color w:val="auto"/>
          <w:spacing w:val="0"/>
          <w:kern w:val="0"/>
          <w:sz w:val="32"/>
          <w:szCs w:val="32"/>
          <w:shd w:val="clear" w:fill="FFFFFF"/>
          <w:lang w:val="en-US" w:eastAsia="zh-CN" w:bidi="ar"/>
        </w:rPr>
        <w:t>公开各项工作</w:t>
      </w:r>
      <w:r>
        <w:rPr>
          <w:rFonts w:hint="eastAsia" w:ascii="仿宋_GB2312" w:eastAsia="仿宋_GB2312" w:cs="仿宋_GB2312" w:hAnsiTheme="minorHAnsi"/>
          <w:i w:val="0"/>
          <w:caps w:val="0"/>
          <w:color w:val="auto"/>
          <w:spacing w:val="0"/>
          <w:kern w:val="0"/>
          <w:sz w:val="32"/>
          <w:szCs w:val="32"/>
          <w:shd w:val="clear" w:fill="FFFFFF"/>
          <w:lang w:val="en-US" w:eastAsia="zh-CN" w:bidi="ar"/>
        </w:rPr>
        <w:t>，常态化推进政务公开工作。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outlineLvl w:val="9"/>
        <w:rPr>
          <w:rFonts w:hint="eastAsia" w:ascii="仿宋_GB2312" w:hAnsi="Ã¥Â¾Â®Ã¨Â½Â¯Ã©â€ºâ€¦Ã©Â»â€˜"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fill="FFFFFF"/>
        </w:rPr>
        <w:t>三是人大代表建议和政协提案办理情况</w:t>
      </w:r>
      <w:r>
        <w:rPr>
          <w:rFonts w:hint="eastAsia" w:ascii="仿宋_GB2312" w:hAnsi="Ã¥Â¾Â®Ã¨Â½Â¯Ã©â€ºâ€¦Ã©Â»â€˜" w:eastAsia="仿宋_GB2312" w:cs="仿宋_GB2312"/>
          <w:i w:val="0"/>
          <w:iCs w:val="0"/>
          <w:caps w:val="0"/>
          <w:color w:val="000000"/>
          <w:spacing w:val="0"/>
          <w:sz w:val="32"/>
          <w:szCs w:val="32"/>
          <w:shd w:val="clear" w:fill="FFFFFF"/>
        </w:rPr>
        <w:t>。</w:t>
      </w:r>
      <w:r>
        <w:rPr>
          <w:rFonts w:hint="eastAsia" w:ascii="仿宋_GB2312" w:hAnsi="Calibri" w:eastAsia="仿宋_GB2312" w:cs="仿宋_GB2312"/>
          <w:i w:val="0"/>
          <w:iCs w:val="0"/>
          <w:caps w:val="0"/>
          <w:color w:val="000000"/>
          <w:spacing w:val="0"/>
          <w:sz w:val="32"/>
          <w:szCs w:val="32"/>
          <w:shd w:val="clear" w:fill="FFFFFF"/>
        </w:rPr>
        <w:t>2022</w:t>
      </w:r>
      <w:r>
        <w:rPr>
          <w:rFonts w:hint="eastAsia" w:ascii="仿宋_GB2312" w:hAnsi="Ã¥Â¾Â®Ã¨Â½Â¯Ã©â€ºâ€¦Ã©Â»â€˜" w:eastAsia="仿宋_GB2312" w:cs="仿宋_GB2312"/>
          <w:i w:val="0"/>
          <w:iCs w:val="0"/>
          <w:caps w:val="0"/>
          <w:color w:val="000000"/>
          <w:spacing w:val="0"/>
          <w:sz w:val="32"/>
          <w:szCs w:val="32"/>
        </w:rPr>
        <w:t>年，区</w:t>
      </w:r>
      <w:r>
        <w:rPr>
          <w:rFonts w:hint="eastAsia" w:ascii="仿宋_GB2312" w:hAnsi="Ã¥Â¾Â®Ã¨Â½Â¯Ã©â€ºâ€¦Ã©Â»â€˜" w:eastAsia="仿宋_GB2312" w:cs="仿宋_GB2312"/>
          <w:i w:val="0"/>
          <w:iCs w:val="0"/>
          <w:caps w:val="0"/>
          <w:color w:val="000000"/>
          <w:spacing w:val="0"/>
          <w:sz w:val="32"/>
          <w:szCs w:val="32"/>
          <w:lang w:eastAsia="zh-CN"/>
        </w:rPr>
        <w:t>行政审批服务局</w:t>
      </w:r>
      <w:r>
        <w:rPr>
          <w:rFonts w:hint="eastAsia" w:ascii="仿宋_GB2312" w:hAnsi="Ã¥Â¾Â®Ã¨Â½Â¯Ã©â€ºâ€¦Ã©Â»â€˜" w:eastAsia="仿宋_GB2312" w:cs="仿宋_GB2312"/>
          <w:i w:val="0"/>
          <w:iCs w:val="0"/>
          <w:caps w:val="0"/>
          <w:color w:val="000000"/>
          <w:spacing w:val="0"/>
          <w:sz w:val="32"/>
          <w:szCs w:val="32"/>
        </w:rPr>
        <w:t>承办</w:t>
      </w:r>
      <w:r>
        <w:rPr>
          <w:rFonts w:hint="eastAsia" w:ascii="仿宋_GB2312" w:hAnsi="Ã¥Â¾Â®Ã¨Â½Â¯Ã©â€ºâ€¦Ã©Â»â€˜" w:eastAsia="仿宋_GB2312" w:cs="仿宋_GB2312"/>
          <w:i w:val="0"/>
          <w:iCs w:val="0"/>
          <w:caps w:val="0"/>
          <w:color w:val="000000"/>
          <w:spacing w:val="0"/>
          <w:sz w:val="32"/>
          <w:szCs w:val="32"/>
          <w:lang w:eastAsia="zh-CN"/>
        </w:rPr>
        <w:t>市</w:t>
      </w:r>
      <w:r>
        <w:rPr>
          <w:rFonts w:hint="eastAsia" w:ascii="仿宋_GB2312" w:hAnsi="Ã¥Â¾Â®Ã¨Â½Â¯Ã©â€ºâ€¦Ã©Â»â€˜" w:eastAsia="仿宋_GB2312" w:cs="仿宋_GB2312"/>
          <w:i w:val="0"/>
          <w:iCs w:val="0"/>
          <w:caps w:val="0"/>
          <w:color w:val="000000"/>
          <w:spacing w:val="0"/>
          <w:sz w:val="32"/>
          <w:szCs w:val="32"/>
        </w:rPr>
        <w:t>政协提案1件。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outlineLvl w:val="9"/>
        <w:rPr>
          <w:rFonts w:hint="eastAsia" w:ascii="仿宋_GB2312" w:hAnsi="Ã¥Â¾Â®Ã¨Â½Â¯Ã©â€ºâ€¦Ã©Â»â€˜" w:eastAsia="仿宋_GB2312" w:cs="仿宋_GB2312"/>
          <w:i w:val="0"/>
          <w:iCs w:val="0"/>
          <w:caps w:val="0"/>
          <w:color w:val="000000"/>
          <w:spacing w:val="0"/>
          <w:sz w:val="32"/>
          <w:szCs w:val="32"/>
          <w:lang w:eastAsia="zh-CN"/>
        </w:rPr>
      </w:pPr>
      <w:r>
        <w:rPr>
          <w:rFonts w:hint="eastAsia" w:ascii="楷体" w:hAnsi="楷体" w:eastAsia="楷体" w:cs="楷体"/>
          <w:i w:val="0"/>
          <w:iCs w:val="0"/>
          <w:caps w:val="0"/>
          <w:color w:val="000000"/>
          <w:spacing w:val="0"/>
          <w:sz w:val="32"/>
          <w:szCs w:val="32"/>
          <w:shd w:val="clear" w:fill="FFFFFF"/>
        </w:rPr>
        <w:t>四是政务公开工作创新情况。</w:t>
      </w:r>
      <w:r>
        <w:rPr>
          <w:rFonts w:hint="eastAsia" w:ascii="仿宋_GB2312" w:hAnsi="仿宋_GB2312" w:eastAsia="仿宋_GB2312" w:cs="仿宋_GB2312"/>
          <w:sz w:val="32"/>
          <w:szCs w:val="32"/>
          <w:lang w:eastAsia="zh-CN"/>
        </w:rPr>
        <w:t>台儿区行政审批服务局开展政府开放日活动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邀请</w:t>
      </w:r>
      <w:r>
        <w:rPr>
          <w:rFonts w:hint="eastAsia" w:ascii="仿宋_GB2312" w:hAnsi="仿宋_GB2312" w:eastAsia="仿宋_GB2312" w:cs="仿宋_GB2312"/>
          <w:sz w:val="32"/>
          <w:szCs w:val="32"/>
        </w:rPr>
        <w:t>区政协副主席、民建台儿庄区支部主委杨红</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民建台儿庄区支部</w:t>
      </w:r>
      <w:r>
        <w:rPr>
          <w:rFonts w:hint="eastAsia" w:ascii="仿宋_GB2312" w:hAnsi="仿宋_GB2312" w:eastAsia="仿宋_GB2312" w:cs="仿宋_GB2312"/>
          <w:sz w:val="32"/>
          <w:szCs w:val="32"/>
          <w:lang w:eastAsia="zh-CN"/>
        </w:rPr>
        <w:t>会员到我局</w:t>
      </w:r>
      <w:r>
        <w:rPr>
          <w:rFonts w:hint="eastAsia" w:ascii="仿宋_GB2312" w:hAnsi="仿宋_GB2312" w:eastAsia="仿宋_GB2312" w:cs="仿宋_GB2312"/>
          <w:sz w:val="32"/>
          <w:szCs w:val="32"/>
        </w:rPr>
        <w:t>就“</w:t>
      </w:r>
      <w:r>
        <w:rPr>
          <w:rFonts w:hint="eastAsia" w:ascii="仿宋_GB2312" w:hAnsi="仿宋_GB2312" w:eastAsia="仿宋_GB2312" w:cs="仿宋_GB2312"/>
          <w:sz w:val="32"/>
          <w:szCs w:val="32"/>
          <w:lang w:eastAsia="zh-CN"/>
        </w:rPr>
        <w:t>关于优化营商环境助力企业发展情况</w:t>
      </w:r>
      <w:r>
        <w:rPr>
          <w:rFonts w:hint="eastAsia" w:ascii="仿宋_GB2312" w:hAnsi="仿宋_GB2312" w:eastAsia="仿宋_GB2312" w:cs="仿宋_GB2312"/>
          <w:sz w:val="32"/>
          <w:szCs w:val="32"/>
        </w:rPr>
        <w:t>”开展民主监督</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现场调研并举行</w:t>
      </w:r>
      <w:r>
        <w:rPr>
          <w:rFonts w:hint="eastAsia" w:ascii="仿宋_GB2312" w:hAnsi="仿宋_GB2312" w:eastAsia="仿宋_GB2312" w:cs="仿宋_GB2312"/>
          <w:sz w:val="32"/>
          <w:szCs w:val="32"/>
          <w:lang w:eastAsia="zh-CN"/>
        </w:rPr>
        <w:t>座谈会</w:t>
      </w:r>
      <w:r>
        <w:rPr>
          <w:rFonts w:hint="eastAsia" w:ascii="仿宋_GB2312" w:hAnsi="Ã¥Â¾Â®Ã¨Â½Â¯Ã©â€ºâ€¦Ã©Â»â€˜" w:eastAsia="仿宋_GB2312" w:cs="仿宋_GB2312"/>
          <w:i w:val="0"/>
          <w:iCs w:val="0"/>
          <w:caps w:val="0"/>
          <w:color w:val="000000"/>
          <w:spacing w:val="0"/>
          <w:sz w:val="32"/>
          <w:szCs w:val="32"/>
          <w:lang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outlineLvl w:val="9"/>
        <w:rPr>
          <w:rFonts w:hint="eastAsia" w:ascii="仿宋_GB2312" w:hAnsi="Ã¥Â¾Â®Ã¨Â½Â¯Ã©â€ºâ€¦Ã©Â»â€˜"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fill="FFFFFF"/>
        </w:rPr>
        <w:t>五是本行政机关政府信息公开工作年度报告数据统计需要说明的事项</w:t>
      </w:r>
      <w:r>
        <w:rPr>
          <w:rFonts w:hint="eastAsia" w:ascii="仿宋_GB2312" w:hAnsi="Ã¥Â¾Â®Ã¨Â½Â¯Ã©â€ºâ€¦Ã©Â»â€˜" w:eastAsia="仿宋_GB2312" w:cs="仿宋_GB2312"/>
          <w:i w:val="0"/>
          <w:iCs w:val="0"/>
          <w:caps w:val="0"/>
          <w:color w:val="000000"/>
          <w:spacing w:val="0"/>
          <w:sz w:val="32"/>
          <w:szCs w:val="32"/>
          <w:shd w:val="clear" w:fill="FFFFFF"/>
        </w:rPr>
        <w:t>。</w:t>
      </w:r>
      <w:r>
        <w:rPr>
          <w:rFonts w:hint="eastAsia" w:ascii="仿宋_GB2312" w:hAnsi="Ã¥Â¾Â®Ã¨Â½Â¯Ã©â€ºâ€¦Ã©Â»â€˜" w:eastAsia="仿宋_GB2312" w:cs="仿宋_GB2312"/>
          <w:i w:val="0"/>
          <w:iCs w:val="0"/>
          <w:caps w:val="0"/>
          <w:color w:val="000000"/>
          <w:spacing w:val="0"/>
          <w:sz w:val="32"/>
          <w:szCs w:val="32"/>
        </w:rPr>
        <w:t>报告中所列数据的统计期限自</w:t>
      </w:r>
      <w:r>
        <w:rPr>
          <w:rFonts w:hint="eastAsia" w:ascii="仿宋_GB2312" w:hAnsi="Calibri" w:eastAsia="仿宋_GB2312" w:cs="仿宋_GB2312"/>
          <w:i w:val="0"/>
          <w:iCs w:val="0"/>
          <w:caps w:val="0"/>
          <w:color w:val="000000"/>
          <w:spacing w:val="0"/>
          <w:sz w:val="32"/>
          <w:szCs w:val="32"/>
        </w:rPr>
        <w:t>2022</w:t>
      </w:r>
      <w:r>
        <w:rPr>
          <w:rFonts w:hint="eastAsia" w:ascii="仿宋_GB2312" w:hAnsi="Ã¥Â¾Â®Ã¨Â½Â¯Ã©â€ºâ€¦Ã©Â»â€˜" w:eastAsia="仿宋_GB2312" w:cs="仿宋_GB2312"/>
          <w:i w:val="0"/>
          <w:iCs w:val="0"/>
          <w:caps w:val="0"/>
          <w:color w:val="000000"/>
          <w:spacing w:val="0"/>
          <w:sz w:val="32"/>
          <w:szCs w:val="32"/>
        </w:rPr>
        <w:t>年</w:t>
      </w:r>
      <w:r>
        <w:rPr>
          <w:rFonts w:hint="eastAsia" w:ascii="仿宋_GB2312" w:hAnsi="Calibri" w:eastAsia="仿宋_GB2312" w:cs="仿宋_GB2312"/>
          <w:i w:val="0"/>
          <w:iCs w:val="0"/>
          <w:caps w:val="0"/>
          <w:color w:val="000000"/>
          <w:spacing w:val="0"/>
          <w:sz w:val="32"/>
          <w:szCs w:val="32"/>
        </w:rPr>
        <w:t>1</w:t>
      </w:r>
      <w:r>
        <w:rPr>
          <w:rFonts w:hint="eastAsia" w:ascii="仿宋_GB2312" w:hAnsi="Ã¥Â¾Â®Ã¨Â½Â¯Ã©â€ºâ€¦Ã©Â»â€˜" w:eastAsia="仿宋_GB2312" w:cs="仿宋_GB2312"/>
          <w:i w:val="0"/>
          <w:iCs w:val="0"/>
          <w:caps w:val="0"/>
          <w:color w:val="000000"/>
          <w:spacing w:val="0"/>
          <w:sz w:val="32"/>
          <w:szCs w:val="32"/>
        </w:rPr>
        <w:t>月</w:t>
      </w:r>
      <w:r>
        <w:rPr>
          <w:rFonts w:hint="eastAsia" w:ascii="仿宋_GB2312" w:hAnsi="Calibri" w:eastAsia="仿宋_GB2312" w:cs="仿宋_GB2312"/>
          <w:i w:val="0"/>
          <w:iCs w:val="0"/>
          <w:caps w:val="0"/>
          <w:color w:val="000000"/>
          <w:spacing w:val="0"/>
          <w:sz w:val="32"/>
          <w:szCs w:val="32"/>
        </w:rPr>
        <w:t>1</w:t>
      </w:r>
      <w:r>
        <w:rPr>
          <w:rFonts w:hint="eastAsia" w:ascii="仿宋_GB2312" w:hAnsi="Ã¥Â¾Â®Ã¨Â½Â¯Ã©â€ºâ€¦Ã©Â»â€˜" w:eastAsia="仿宋_GB2312" w:cs="仿宋_GB2312"/>
          <w:i w:val="0"/>
          <w:iCs w:val="0"/>
          <w:caps w:val="0"/>
          <w:color w:val="000000"/>
          <w:spacing w:val="0"/>
          <w:sz w:val="32"/>
          <w:szCs w:val="32"/>
        </w:rPr>
        <w:t>日起至</w:t>
      </w:r>
      <w:r>
        <w:rPr>
          <w:rFonts w:hint="eastAsia" w:ascii="仿宋_GB2312" w:hAnsi="Calibri" w:eastAsia="仿宋_GB2312" w:cs="仿宋_GB2312"/>
          <w:i w:val="0"/>
          <w:iCs w:val="0"/>
          <w:caps w:val="0"/>
          <w:color w:val="000000"/>
          <w:spacing w:val="0"/>
          <w:sz w:val="32"/>
          <w:szCs w:val="32"/>
        </w:rPr>
        <w:t>2022</w:t>
      </w:r>
      <w:r>
        <w:rPr>
          <w:rFonts w:hint="eastAsia" w:ascii="仿宋_GB2312" w:hAnsi="Ã¥Â¾Â®Ã¨Â½Â¯Ã©â€ºâ€¦Ã©Â»â€˜" w:eastAsia="仿宋_GB2312" w:cs="仿宋_GB2312"/>
          <w:i w:val="0"/>
          <w:iCs w:val="0"/>
          <w:caps w:val="0"/>
          <w:color w:val="000000"/>
          <w:spacing w:val="0"/>
          <w:sz w:val="32"/>
          <w:szCs w:val="32"/>
        </w:rPr>
        <w:t>年</w:t>
      </w:r>
      <w:r>
        <w:rPr>
          <w:rFonts w:hint="eastAsia" w:ascii="仿宋_GB2312" w:hAnsi="Calibri" w:eastAsia="仿宋_GB2312" w:cs="仿宋_GB2312"/>
          <w:i w:val="0"/>
          <w:iCs w:val="0"/>
          <w:caps w:val="0"/>
          <w:color w:val="000000"/>
          <w:spacing w:val="0"/>
          <w:sz w:val="32"/>
          <w:szCs w:val="32"/>
        </w:rPr>
        <w:t>12</w:t>
      </w:r>
      <w:r>
        <w:rPr>
          <w:rFonts w:hint="eastAsia" w:ascii="仿宋_GB2312" w:hAnsi="Ã¥Â¾Â®Ã¨Â½Â¯Ã©â€ºâ€¦Ã©Â»â€˜" w:eastAsia="仿宋_GB2312" w:cs="仿宋_GB2312"/>
          <w:i w:val="0"/>
          <w:iCs w:val="0"/>
          <w:caps w:val="0"/>
          <w:color w:val="000000"/>
          <w:spacing w:val="0"/>
          <w:sz w:val="32"/>
          <w:szCs w:val="32"/>
        </w:rPr>
        <w:t>月</w:t>
      </w:r>
      <w:r>
        <w:rPr>
          <w:rFonts w:hint="eastAsia" w:ascii="仿宋_GB2312" w:hAnsi="Calibri" w:eastAsia="仿宋_GB2312" w:cs="仿宋_GB2312"/>
          <w:i w:val="0"/>
          <w:iCs w:val="0"/>
          <w:caps w:val="0"/>
          <w:color w:val="000000"/>
          <w:spacing w:val="0"/>
          <w:sz w:val="32"/>
          <w:szCs w:val="32"/>
        </w:rPr>
        <w:t>31</w:t>
      </w:r>
      <w:r>
        <w:rPr>
          <w:rFonts w:hint="eastAsia" w:ascii="仿宋_GB2312" w:hAnsi="Ã¥Â¾Â®Ã¨Â½Â¯Ã©â€ºâ€¦Ã©Â»â€˜" w:eastAsia="仿宋_GB2312" w:cs="仿宋_GB2312"/>
          <w:i w:val="0"/>
          <w:iCs w:val="0"/>
          <w:caps w:val="0"/>
          <w:color w:val="000000"/>
          <w:spacing w:val="0"/>
          <w:sz w:val="32"/>
          <w:szCs w:val="32"/>
        </w:rPr>
        <w:t>日止。</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六是本行政机关认为需要报告的其他事项</w:t>
      </w:r>
      <w:r>
        <w:rPr>
          <w:rFonts w:hint="eastAsia" w:ascii="仿宋_GB2312" w:hAnsi="Ã¥Â¾Â®Ã¨Â½Â¯Ã©â€ºâ€¦Ã©Â»â€˜"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无。</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outlineLvl w:val="9"/>
        <w:rPr>
          <w:rFonts w:hint="eastAsia" w:ascii="宋体" w:hAnsi="宋体" w:eastAsia="宋体" w:cs="宋体"/>
          <w:i w:val="0"/>
          <w:caps w:val="0"/>
          <w:color w:val="auto"/>
          <w:spacing w:val="0"/>
          <w:kern w:val="0"/>
          <w:sz w:val="24"/>
          <w:szCs w:val="24"/>
          <w:shd w:val="clear" w:fill="FFFFFF"/>
          <w:lang w:val="en-US" w:eastAsia="zh-CN" w:bidi="ar"/>
        </w:rPr>
      </w:pPr>
      <w:r>
        <w:rPr>
          <w:rFonts w:hint="eastAsia" w:ascii="楷体_GB2312" w:hAnsi="楷体_GB2312" w:eastAsia="楷体_GB2312" w:cs="楷体_GB2312"/>
          <w:i w:val="0"/>
          <w:iCs w:val="0"/>
          <w:caps w:val="0"/>
          <w:color w:val="000000"/>
          <w:spacing w:val="0"/>
          <w:sz w:val="32"/>
          <w:szCs w:val="32"/>
          <w:shd w:val="clear" w:fill="FFFFFF"/>
        </w:rPr>
        <w:t>七是其他有关文件专门要求通过政府信息公开工作年度报告予以报告的事项：</w:t>
      </w:r>
      <w:r>
        <w:rPr>
          <w:rFonts w:hint="eastAsia" w:ascii="仿宋_GB2312" w:hAnsi="仿宋_GB2312" w:eastAsia="仿宋_GB2312" w:cs="仿宋_GB2312"/>
          <w:i w:val="0"/>
          <w:iCs w:val="0"/>
          <w:caps w:val="0"/>
          <w:color w:val="000000"/>
          <w:spacing w:val="0"/>
          <w:sz w:val="32"/>
          <w:szCs w:val="32"/>
          <w:shd w:val="clear" w:fill="FFFFFF"/>
          <w:lang w:eastAsia="zh-CN"/>
        </w:rPr>
        <w:t>无</w:t>
      </w:r>
      <w:r>
        <w:rPr>
          <w:rFonts w:hint="eastAsia" w:ascii="仿宋_GB2312" w:hAnsi="仿宋_GB2312" w:eastAsia="仿宋_GB2312" w:cs="仿宋_GB2312"/>
          <w:i w:val="0"/>
          <w:caps w:val="0"/>
          <w:color w:val="auto"/>
          <w:spacing w:val="0"/>
          <w:kern w:val="0"/>
          <w:sz w:val="32"/>
          <w:szCs w:val="32"/>
          <w:shd w:val="clear" w:fill="FFFFFF"/>
          <w:lang w:val="en-US" w:eastAsia="zh-CN" w:bidi="ar"/>
        </w:rPr>
        <w:t> 。</w:t>
      </w:r>
      <w:r>
        <w:rPr>
          <w:rFonts w:hint="eastAsia" w:ascii="楷体_GB2312" w:hAnsi="楷体_GB2312" w:eastAsia="楷体_GB2312" w:cs="楷体_GB2312"/>
          <w:i w:val="0"/>
          <w:caps w:val="0"/>
          <w:color w:val="auto"/>
          <w:spacing w:val="0"/>
          <w:kern w:val="0"/>
          <w:sz w:val="32"/>
          <w:szCs w:val="32"/>
          <w:shd w:val="clear" w:fill="FFFFFF"/>
          <w:lang w:val="en-US" w:eastAsia="zh-CN" w:bidi="ar"/>
        </w:rPr>
        <w:t>         </w:t>
      </w:r>
      <w:r>
        <w:rPr>
          <w:rFonts w:hint="eastAsia" w:ascii="宋体" w:hAnsi="宋体" w:eastAsia="宋体" w:cs="宋体"/>
          <w:i w:val="0"/>
          <w:caps w:val="0"/>
          <w:color w:val="auto"/>
          <w:spacing w:val="0"/>
          <w:kern w:val="0"/>
          <w:sz w:val="24"/>
          <w:szCs w:val="24"/>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600" w:firstLineChars="1500"/>
        <w:jc w:val="left"/>
        <w:textAlignment w:val="auto"/>
        <w:outlineLvl w:val="9"/>
        <w:rPr>
          <w:rFonts w:hint="eastAsia" w:ascii="宋体" w:hAnsi="宋体" w:eastAsia="宋体" w:cs="宋体"/>
          <w:i w:val="0"/>
          <w:caps w:val="0"/>
          <w:color w:val="auto"/>
          <w:spacing w:val="0"/>
          <w:kern w:val="0"/>
          <w:sz w:val="24"/>
          <w:szCs w:val="24"/>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600" w:firstLineChars="1500"/>
        <w:jc w:val="left"/>
        <w:textAlignment w:val="auto"/>
        <w:outlineLvl w:val="9"/>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eastAsia="宋体" w:cs="宋体"/>
          <w:i w:val="0"/>
          <w:caps w:val="0"/>
          <w:color w:val="auto"/>
          <w:spacing w:val="0"/>
          <w:kern w:val="0"/>
          <w:sz w:val="24"/>
          <w:szCs w:val="24"/>
          <w:shd w:val="clear" w:fill="FFFFFF"/>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600" w:firstLineChars="1500"/>
        <w:jc w:val="left"/>
        <w:textAlignment w:val="auto"/>
        <w:outlineLvl w:val="9"/>
        <w:rPr>
          <w:rFonts w:hint="eastAsia" w:ascii="仿宋_GB2312" w:hAnsi="微软雅黑" w:eastAsia="仿宋_GB2312" w:cs="仿宋_GB2312"/>
          <w:i w:val="0"/>
          <w:caps w:val="0"/>
          <w:color w:val="auto"/>
          <w:spacing w:val="0"/>
          <w:kern w:val="0"/>
          <w:sz w:val="32"/>
          <w:szCs w:val="32"/>
          <w:shd w:val="clear" w:fill="FFFFFF"/>
          <w:lang w:val="en-US" w:eastAsia="zh-CN" w:bidi="ar"/>
        </w:rPr>
      </w:pPr>
      <w:r>
        <w:rPr>
          <w:rFonts w:hint="eastAsia" w:ascii="宋体" w:hAnsi="宋体" w:eastAsia="宋体" w:cs="宋体"/>
          <w:i w:val="0"/>
          <w:caps w:val="0"/>
          <w:color w:val="auto"/>
          <w:spacing w:val="0"/>
          <w:kern w:val="0"/>
          <w:sz w:val="24"/>
          <w:szCs w:val="24"/>
          <w:shd w:val="clear" w:fill="FFFFFF"/>
          <w:lang w:val="en-US" w:eastAsia="zh-CN" w:bidi="ar"/>
        </w:rPr>
        <w:t xml:space="preserve">       </w:t>
      </w:r>
      <w:r>
        <w:rPr>
          <w:rFonts w:hint="eastAsia" w:ascii="仿宋_GB2312" w:hAnsi="微软雅黑" w:eastAsia="仿宋_GB2312" w:cs="仿宋_GB2312"/>
          <w:i w:val="0"/>
          <w:caps w:val="0"/>
          <w:color w:val="auto"/>
          <w:spacing w:val="0"/>
          <w:kern w:val="0"/>
          <w:sz w:val="32"/>
          <w:szCs w:val="32"/>
          <w:shd w:val="clear" w:fill="FFFFFF"/>
          <w:lang w:val="en-US" w:eastAsia="zh-CN" w:bidi="ar"/>
        </w:rPr>
        <w:t>台儿庄区行政审批服务局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0" w:firstLineChars="1500"/>
        <w:jc w:val="left"/>
        <w:textAlignment w:val="auto"/>
        <w:outlineLvl w:val="9"/>
        <w:rPr>
          <w:rFonts w:hint="default" w:ascii="仿宋_GB2312" w:hAnsi="微软雅黑" w:eastAsia="仿宋_GB2312" w:cs="仿宋_GB2312"/>
          <w:i w:val="0"/>
          <w:caps w:val="0"/>
          <w:color w:val="auto"/>
          <w:spacing w:val="0"/>
          <w:kern w:val="0"/>
          <w:sz w:val="32"/>
          <w:szCs w:val="32"/>
          <w:shd w:val="clear" w:fill="FFFFFF"/>
          <w:lang w:val="en-US" w:eastAsia="zh-CN" w:bidi="ar"/>
        </w:rPr>
      </w:pPr>
      <w:r>
        <w:rPr>
          <w:rFonts w:hint="eastAsia" w:ascii="仿宋_GB2312" w:hAnsi="微软雅黑" w:eastAsia="仿宋_GB2312" w:cs="仿宋_GB2312"/>
          <w:i w:val="0"/>
          <w:caps w:val="0"/>
          <w:color w:val="auto"/>
          <w:spacing w:val="0"/>
          <w:kern w:val="0"/>
          <w:sz w:val="32"/>
          <w:szCs w:val="32"/>
          <w:shd w:val="clear" w:fill="FFFFFF"/>
          <w:lang w:val="en-US" w:eastAsia="zh-CN" w:bidi="ar"/>
        </w:rPr>
        <w:t>2023月1月16日</w:t>
      </w:r>
    </w:p>
    <w:sectPr>
      <w:footerReference r:id="rId3" w:type="default"/>
      <w:pgSz w:w="11906" w:h="16838"/>
      <w:pgMar w:top="1701" w:right="1587" w:bottom="158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jNmY0NDJkMDBjN2QzNGM0YTI1ZWIzODZmYmZhY2QifQ=="/>
  </w:docVars>
  <w:rsids>
    <w:rsidRoot w:val="00502C34"/>
    <w:rsid w:val="0003350B"/>
    <w:rsid w:val="000500B1"/>
    <w:rsid w:val="0006512C"/>
    <w:rsid w:val="000A57BF"/>
    <w:rsid w:val="000B4F9F"/>
    <w:rsid w:val="000C1FDA"/>
    <w:rsid w:val="00121655"/>
    <w:rsid w:val="00123E53"/>
    <w:rsid w:val="001679FF"/>
    <w:rsid w:val="00180B4F"/>
    <w:rsid w:val="00196721"/>
    <w:rsid w:val="001F026B"/>
    <w:rsid w:val="00203F15"/>
    <w:rsid w:val="00211F6A"/>
    <w:rsid w:val="00243BAF"/>
    <w:rsid w:val="00286BF3"/>
    <w:rsid w:val="002B58BB"/>
    <w:rsid w:val="00315DDF"/>
    <w:rsid w:val="00333740"/>
    <w:rsid w:val="00372E47"/>
    <w:rsid w:val="00384B12"/>
    <w:rsid w:val="00392DAD"/>
    <w:rsid w:val="003C1943"/>
    <w:rsid w:val="004162E7"/>
    <w:rsid w:val="00463EF5"/>
    <w:rsid w:val="004D3C2B"/>
    <w:rsid w:val="004D6D24"/>
    <w:rsid w:val="00502C34"/>
    <w:rsid w:val="00515416"/>
    <w:rsid w:val="00531FBB"/>
    <w:rsid w:val="00552F1D"/>
    <w:rsid w:val="005548EB"/>
    <w:rsid w:val="00612182"/>
    <w:rsid w:val="00683E94"/>
    <w:rsid w:val="006B5301"/>
    <w:rsid w:val="006E2A67"/>
    <w:rsid w:val="00760120"/>
    <w:rsid w:val="007E43CD"/>
    <w:rsid w:val="008244CB"/>
    <w:rsid w:val="00846109"/>
    <w:rsid w:val="00851E51"/>
    <w:rsid w:val="008C68B1"/>
    <w:rsid w:val="00923DE3"/>
    <w:rsid w:val="00990BC0"/>
    <w:rsid w:val="009D1EAC"/>
    <w:rsid w:val="00A9562B"/>
    <w:rsid w:val="00AC0838"/>
    <w:rsid w:val="00AC0B55"/>
    <w:rsid w:val="00B0360E"/>
    <w:rsid w:val="00B06CEF"/>
    <w:rsid w:val="00B82BD5"/>
    <w:rsid w:val="00B846A3"/>
    <w:rsid w:val="00BA1959"/>
    <w:rsid w:val="00BB1402"/>
    <w:rsid w:val="00BD1F13"/>
    <w:rsid w:val="00BD2DFA"/>
    <w:rsid w:val="00BF2FF7"/>
    <w:rsid w:val="00C106D4"/>
    <w:rsid w:val="00C24C5F"/>
    <w:rsid w:val="00C74995"/>
    <w:rsid w:val="00CA2A1F"/>
    <w:rsid w:val="00CE332F"/>
    <w:rsid w:val="00D206E1"/>
    <w:rsid w:val="00DD7168"/>
    <w:rsid w:val="00DF3523"/>
    <w:rsid w:val="00DF7D80"/>
    <w:rsid w:val="00ED6874"/>
    <w:rsid w:val="00ED698F"/>
    <w:rsid w:val="00EE7943"/>
    <w:rsid w:val="00F01622"/>
    <w:rsid w:val="00F03027"/>
    <w:rsid w:val="00F42818"/>
    <w:rsid w:val="00F57A9C"/>
    <w:rsid w:val="00F7173D"/>
    <w:rsid w:val="00F90155"/>
    <w:rsid w:val="00FC01CB"/>
    <w:rsid w:val="00FF3FF5"/>
    <w:rsid w:val="00FF65C3"/>
    <w:rsid w:val="05F024A3"/>
    <w:rsid w:val="11D010D8"/>
    <w:rsid w:val="33D72254"/>
    <w:rsid w:val="350A20F3"/>
    <w:rsid w:val="38F772DE"/>
    <w:rsid w:val="3C787E8C"/>
    <w:rsid w:val="3CF846FD"/>
    <w:rsid w:val="4213395B"/>
    <w:rsid w:val="501E3A7F"/>
    <w:rsid w:val="5B1D687C"/>
    <w:rsid w:val="5CE76D2B"/>
    <w:rsid w:val="601C5E1C"/>
    <w:rsid w:val="60C47973"/>
    <w:rsid w:val="63BA0005"/>
    <w:rsid w:val="64D47CC7"/>
    <w:rsid w:val="6C3A6AFF"/>
    <w:rsid w:val="705479D4"/>
    <w:rsid w:val="76616287"/>
    <w:rsid w:val="7E1802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FollowedHyperlink"/>
    <w:basedOn w:val="8"/>
    <w:unhideWhenUsed/>
    <w:qFormat/>
    <w:uiPriority w:val="99"/>
    <w:rPr>
      <w:color w:val="337AB7"/>
      <w:u w:val="single"/>
    </w:rPr>
  </w:style>
  <w:style w:type="character" w:styleId="11">
    <w:name w:val="Emphasis"/>
    <w:basedOn w:val="8"/>
    <w:qFormat/>
    <w:uiPriority w:val="20"/>
    <w:rPr>
      <w:i/>
    </w:rPr>
  </w:style>
  <w:style w:type="character" w:styleId="12">
    <w:name w:val="HTML Definition"/>
    <w:basedOn w:val="8"/>
    <w:unhideWhenUsed/>
    <w:qFormat/>
    <w:uiPriority w:val="99"/>
    <w:rPr>
      <w:i/>
    </w:rPr>
  </w:style>
  <w:style w:type="character" w:styleId="13">
    <w:name w:val="Hyperlink"/>
    <w:basedOn w:val="8"/>
    <w:unhideWhenUsed/>
    <w:qFormat/>
    <w:uiPriority w:val="99"/>
    <w:rPr>
      <w:color w:val="337AB7"/>
      <w:u w:val="single"/>
    </w:rPr>
  </w:style>
  <w:style w:type="character" w:styleId="14">
    <w:name w:val="HTML Code"/>
    <w:basedOn w:val="8"/>
    <w:unhideWhenUsed/>
    <w:qFormat/>
    <w:uiPriority w:val="99"/>
    <w:rPr>
      <w:rFonts w:ascii="Menlo" w:hAnsi="Menlo" w:eastAsia="Menlo" w:cs="Menlo"/>
      <w:color w:val="C7254E"/>
      <w:sz w:val="21"/>
      <w:szCs w:val="21"/>
      <w:shd w:val="clear" w:fill="F9F2F4"/>
    </w:rPr>
  </w:style>
  <w:style w:type="character" w:styleId="15">
    <w:name w:val="HTML Keyboard"/>
    <w:basedOn w:val="8"/>
    <w:unhideWhenUsed/>
    <w:qFormat/>
    <w:uiPriority w:val="99"/>
    <w:rPr>
      <w:rFonts w:hint="default" w:ascii="Menlo" w:hAnsi="Menlo" w:eastAsia="Menlo" w:cs="Menlo"/>
      <w:color w:val="FFFFFF"/>
      <w:sz w:val="21"/>
      <w:szCs w:val="21"/>
      <w:shd w:val="clear" w:fill="333333"/>
    </w:rPr>
  </w:style>
  <w:style w:type="character" w:styleId="16">
    <w:name w:val="HTML Sample"/>
    <w:basedOn w:val="8"/>
    <w:unhideWhenUsed/>
    <w:qFormat/>
    <w:uiPriority w:val="99"/>
    <w:rPr>
      <w:rFonts w:hint="default" w:ascii="Menlo" w:hAnsi="Menlo" w:eastAsia="Menlo" w:cs="Menlo"/>
      <w:sz w:val="21"/>
      <w:szCs w:val="21"/>
    </w:rPr>
  </w:style>
  <w:style w:type="character" w:customStyle="1" w:styleId="17">
    <w:name w:val="页眉 字符"/>
    <w:basedOn w:val="8"/>
    <w:link w:val="5"/>
    <w:qFormat/>
    <w:uiPriority w:val="99"/>
    <w:rPr>
      <w:sz w:val="18"/>
      <w:szCs w:val="18"/>
    </w:rPr>
  </w:style>
  <w:style w:type="character" w:customStyle="1" w:styleId="18">
    <w:name w:val="页脚 字符"/>
    <w:basedOn w:val="8"/>
    <w:link w:val="4"/>
    <w:qFormat/>
    <w:uiPriority w:val="99"/>
    <w:rPr>
      <w:sz w:val="18"/>
      <w:szCs w:val="18"/>
    </w:rPr>
  </w:style>
  <w:style w:type="character" w:customStyle="1" w:styleId="19">
    <w:name w:val="标题 1 字符"/>
    <w:basedOn w:val="8"/>
    <w:link w:val="2"/>
    <w:qFormat/>
    <w:uiPriority w:val="9"/>
    <w:rPr>
      <w:b/>
      <w:bCs/>
      <w:kern w:val="44"/>
      <w:sz w:val="44"/>
      <w:szCs w:val="44"/>
    </w:rPr>
  </w:style>
  <w:style w:type="character" w:customStyle="1" w:styleId="20">
    <w:name w:val="标题 2 字符"/>
    <w:basedOn w:val="8"/>
    <w:link w:val="3"/>
    <w:qFormat/>
    <w:uiPriority w:val="9"/>
    <w:rPr>
      <w:rFonts w:asciiTheme="majorHAnsi" w:hAnsiTheme="majorHAnsi" w:eastAsiaTheme="majorEastAsia" w:cstheme="majorBidi"/>
      <w:b/>
      <w:bCs/>
      <w:sz w:val="32"/>
      <w:szCs w:val="32"/>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2857</Words>
  <Characters>2969</Characters>
  <Lines>75</Lines>
  <Paragraphs>21</Paragraphs>
  <TotalTime>1</TotalTime>
  <ScaleCrop>false</ScaleCrop>
  <LinksUpToDate>false</LinksUpToDate>
  <CharactersWithSpaces>3019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2021-09-03T07:57:00Z</dcterms:created>
  <dc:creator>qiyuanhua0168@163.com</dc:creator>
  <cp:lastModifiedBy>魏天</cp:lastModifiedBy>
  <cp:lastPrinted>2022-01-19T01:25:00Z</cp:lastPrinted>
  <dcterms:modified xsi:type="dcterms:W3CDTF">2023-02-01T06:09:59Z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A43566CAD671416799321B6A3C6F86A6</vt:lpwstr>
  </property>
</Properties>
</file>