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eastAsia" w:ascii="方正小标宋简体" w:hAnsi="方正小标宋简体" w:eastAsia="方正小标宋简体" w:cs="方正小标宋简体"/>
          <w:spacing w:val="0"/>
          <w:sz w:val="44"/>
          <w:szCs w:val="44"/>
          <w:shd w:val="clear" w:fill="FFFFFF"/>
        </w:rPr>
      </w:pPr>
      <w:r>
        <w:rPr>
          <w:rFonts w:hint="eastAsia" w:ascii="方正小标宋简体" w:hAnsi="方正小标宋简体" w:eastAsia="方正小标宋简体" w:cs="方正小标宋简体"/>
          <w:spacing w:val="0"/>
          <w:sz w:val="44"/>
          <w:szCs w:val="44"/>
          <w:shd w:val="clear" w:fill="FFFFFF"/>
        </w:rPr>
        <w:t>枣庄市台儿庄区</w:t>
      </w:r>
      <w:r>
        <w:rPr>
          <w:rFonts w:hint="eastAsia" w:ascii="方正小标宋简体" w:hAnsi="方正小标宋简体" w:eastAsia="方正小标宋简体" w:cs="方正小标宋简体"/>
          <w:spacing w:val="0"/>
          <w:sz w:val="44"/>
          <w:szCs w:val="44"/>
          <w:shd w:val="clear" w:fill="FFFFFF"/>
          <w:lang w:val="en-US" w:eastAsia="zh-CN"/>
        </w:rPr>
        <w:t>医疗保障</w:t>
      </w:r>
      <w:r>
        <w:rPr>
          <w:rFonts w:hint="eastAsia" w:ascii="方正小标宋简体" w:hAnsi="方正小标宋简体" w:eastAsia="方正小标宋简体" w:cs="方正小标宋简体"/>
          <w:spacing w:val="0"/>
          <w:sz w:val="44"/>
          <w:szCs w:val="44"/>
          <w:shd w:val="clear" w:fill="FFFFFF"/>
        </w:rPr>
        <w:t>局2022年政府信息公开工作年度报告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仿宋_GB2312" w:eastAsia="仿宋_GB2312" w:cs="仿宋_GB231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ascii="仿宋_GB2312" w:eastAsia="仿宋_GB2312" w:cs="仿宋_GB2312"/>
          <w:spacing w:val="0"/>
          <w:sz w:val="31"/>
          <w:szCs w:val="31"/>
          <w:shd w:val="clear" w:fill="FFFFFF"/>
        </w:rPr>
        <w:t>根据《中华人民共和国政府信息公开条例》（国务院令第</w:t>
      </w:r>
      <w:r>
        <w:rPr>
          <w:rFonts w:hint="eastAsia" w:ascii="仿宋_GB2312" w:eastAsia="仿宋_GB2312" w:cs="仿宋_GB2312"/>
          <w:spacing w:val="0"/>
          <w:sz w:val="31"/>
          <w:szCs w:val="31"/>
          <w:shd w:val="clear" w:fill="FFFFFF"/>
        </w:rPr>
        <w:t>711号）相关规定及《台儿庄区人民政府办公室关于做好202</w:t>
      </w:r>
      <w:r>
        <w:rPr>
          <w:rFonts w:hint="eastAsia" w:ascii="仿宋_GB2312" w:eastAsia="仿宋_GB2312" w:cs="仿宋_GB2312"/>
          <w:spacing w:val="0"/>
          <w:sz w:val="31"/>
          <w:szCs w:val="31"/>
          <w:shd w:val="clear" w:fill="FFFFFF"/>
          <w:lang w:val="en-US" w:eastAsia="zh-CN"/>
        </w:rPr>
        <w:t>2</w:t>
      </w:r>
      <w:r>
        <w:rPr>
          <w:rFonts w:hint="eastAsia" w:ascii="仿宋_GB2312" w:eastAsia="仿宋_GB2312" w:cs="仿宋_GB2312"/>
          <w:spacing w:val="0"/>
          <w:sz w:val="31"/>
          <w:szCs w:val="31"/>
          <w:shd w:val="clear" w:fill="FFFFFF"/>
        </w:rPr>
        <w:t>年度政府信息公开工作年度报告编制和发布工作的通知》要求，现向社会公布台儿庄区医疗保障局202</w:t>
      </w:r>
      <w:r>
        <w:rPr>
          <w:rFonts w:hint="eastAsia" w:ascii="仿宋_GB2312" w:eastAsia="仿宋_GB2312" w:cs="仿宋_GB2312"/>
          <w:spacing w:val="0"/>
          <w:sz w:val="31"/>
          <w:szCs w:val="31"/>
          <w:shd w:val="clear" w:fill="FFFFFF"/>
          <w:lang w:val="en-US" w:eastAsia="zh-CN"/>
        </w:rPr>
        <w:t>2</w:t>
      </w:r>
      <w:r>
        <w:rPr>
          <w:rFonts w:hint="eastAsia" w:ascii="仿宋_GB2312" w:eastAsia="仿宋_GB2312" w:cs="仿宋_GB2312"/>
          <w:spacing w:val="0"/>
          <w:sz w:val="31"/>
          <w:szCs w:val="31"/>
          <w:shd w:val="clear" w:fill="FFFFFF"/>
        </w:rPr>
        <w:t>年度政府信息公开报告。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仿宋_GB2312" w:eastAsia="仿宋_GB2312" w:cs="仿宋_GB2312"/>
          <w:spacing w:val="0"/>
          <w:sz w:val="31"/>
          <w:szCs w:val="31"/>
          <w:shd w:val="clear" w:fill="FFFFFF"/>
        </w:rPr>
        <w:t>本报告中所列数据的统计时限为202</w:t>
      </w:r>
      <w:r>
        <w:rPr>
          <w:rFonts w:hint="eastAsia" w:ascii="仿宋_GB2312" w:eastAsia="仿宋_GB2312" w:cs="仿宋_GB2312"/>
          <w:spacing w:val="0"/>
          <w:sz w:val="31"/>
          <w:szCs w:val="31"/>
          <w:shd w:val="clear" w:fill="FFFFFF"/>
          <w:lang w:val="en-US" w:eastAsia="zh-CN"/>
        </w:rPr>
        <w:t>2</w:t>
      </w:r>
      <w:r>
        <w:rPr>
          <w:rFonts w:hint="eastAsia" w:ascii="仿宋_GB2312" w:eastAsia="仿宋_GB2312" w:cs="仿宋_GB2312"/>
          <w:spacing w:val="0"/>
          <w:sz w:val="31"/>
          <w:szCs w:val="31"/>
          <w:shd w:val="clear" w:fill="FFFFFF"/>
        </w:rPr>
        <w:t>年1月1日至202</w:t>
      </w:r>
      <w:r>
        <w:rPr>
          <w:rFonts w:hint="eastAsia" w:ascii="仿宋_GB2312" w:eastAsia="仿宋_GB2312" w:cs="仿宋_GB2312"/>
          <w:spacing w:val="0"/>
          <w:sz w:val="31"/>
          <w:szCs w:val="31"/>
          <w:shd w:val="clear" w:fill="FFFFFF"/>
          <w:lang w:val="en-US" w:eastAsia="zh-CN"/>
        </w:rPr>
        <w:t>2</w:t>
      </w:r>
      <w:r>
        <w:rPr>
          <w:rFonts w:hint="eastAsia" w:ascii="仿宋_GB2312" w:eastAsia="仿宋_GB2312" w:cs="仿宋_GB2312"/>
          <w:spacing w:val="0"/>
          <w:sz w:val="31"/>
          <w:szCs w:val="31"/>
          <w:shd w:val="clear" w:fill="FFFFFF"/>
        </w:rPr>
        <w:t>年12月31日。本报告可通过台儿庄区政府门户网站（http://www.tez.gov.cn/）查阅或下载。如对本报有疑问，请与台儿庄区医疗保障局办公室联系（地址：枣庄市台儿庄区台中路市民中心D区4楼；邮编：277400；联系电话：0632-6680528；电子邮箱：tezybj@zz.shandong.cn）。</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黑体" w:hAnsi="宋体" w:eastAsia="黑体" w:cs="黑体"/>
          <w:spacing w:val="0"/>
          <w:sz w:val="31"/>
          <w:szCs w:val="31"/>
          <w:shd w:val="clear" w:fill="FFFFFF"/>
        </w:rPr>
      </w:pPr>
      <w:r>
        <w:rPr>
          <w:rFonts w:ascii="黑体" w:hAnsi="宋体" w:eastAsia="黑体" w:cs="黑体"/>
          <w:spacing w:val="0"/>
          <w:sz w:val="31"/>
          <w:szCs w:val="31"/>
          <w:shd w:val="clear" w:fill="FFFFFF"/>
        </w:rPr>
        <w:t>总体情况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ascii="黑体" w:hAnsi="宋体" w:eastAsia="黑体" w:cs="黑体"/>
          <w:spacing w:val="0"/>
          <w:sz w:val="31"/>
          <w:szCs w:val="31"/>
          <w:shd w:val="clear" w:fill="FFFFFF"/>
        </w:rPr>
      </w:pPr>
      <w:r>
        <w:rPr>
          <w:rFonts w:ascii="仿宋_GB2312" w:eastAsia="仿宋_GB2312" w:cs="仿宋_GB2312"/>
          <w:color w:val="auto"/>
          <w:sz w:val="31"/>
          <w:szCs w:val="31"/>
        </w:rPr>
        <w:t>我局认真贯彻落实《中华人民共和国政府信息公开条例》《国务院办公厅政府信息与政务公开办公室关于政府信息公开工作年度报告有关事项的通知》等文件要求，坚持“以公开为常态、不公开为例外”，进一步强化组织领导，完善公开机制，着力提升公开质量和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ascii="楷体_GB2312" w:eastAsia="楷体_GB2312" w:cs="楷体_GB2312"/>
          <w:spacing w:val="0"/>
          <w:sz w:val="31"/>
          <w:szCs w:val="31"/>
          <w:shd w:val="clear" w:fill="FFFFFF"/>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eastAsia="仿宋_GB2312" w:cs="仿宋_GB2312"/>
          <w:spacing w:val="0"/>
          <w:sz w:val="31"/>
          <w:szCs w:val="31"/>
          <w:highlight w:val="yellow"/>
          <w:shd w:val="clear" w:fill="FFFFFF"/>
          <w:lang w:eastAsia="zh-CN"/>
        </w:rPr>
      </w:pPr>
      <w:r>
        <w:rPr>
          <w:rFonts w:hint="eastAsia" w:ascii="仿宋_GB2312" w:eastAsia="仿宋_GB2312" w:cs="仿宋_GB2312"/>
          <w:spacing w:val="0"/>
          <w:sz w:val="31"/>
          <w:szCs w:val="31"/>
          <w:shd w:val="clear" w:fill="FFFFFF"/>
        </w:rPr>
        <w:t>我局严格按照《中华人民共和国政府信息公开条例》（国务院令第711号）要求，认真开展政府信息公开工作，本年度主动公开政府信息</w:t>
      </w:r>
      <w:r>
        <w:rPr>
          <w:rFonts w:hint="eastAsia" w:ascii="仿宋_GB2312" w:eastAsia="仿宋_GB2312" w:cs="仿宋_GB2312"/>
          <w:spacing w:val="0"/>
          <w:sz w:val="31"/>
          <w:szCs w:val="31"/>
          <w:highlight w:val="none"/>
          <w:shd w:val="clear" w:fill="FFFFFF"/>
          <w:lang w:val="en-US" w:eastAsia="zh-CN"/>
        </w:rPr>
        <w:t>42</w:t>
      </w:r>
      <w:r>
        <w:rPr>
          <w:rFonts w:hint="eastAsia" w:ascii="仿宋_GB2312" w:eastAsia="仿宋_GB2312" w:cs="仿宋_GB2312"/>
          <w:spacing w:val="0"/>
          <w:sz w:val="31"/>
          <w:szCs w:val="31"/>
          <w:highlight w:val="none"/>
          <w:shd w:val="clear" w:fill="FFFFFF"/>
        </w:rPr>
        <w:t>件</w:t>
      </w:r>
      <w:r>
        <w:rPr>
          <w:rFonts w:hint="eastAsia" w:ascii="仿宋_GB2312" w:eastAsia="仿宋_GB2312" w:cs="仿宋_GB2312"/>
          <w:spacing w:val="0"/>
          <w:sz w:val="31"/>
          <w:szCs w:val="31"/>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楷体_GB2312" w:eastAsia="楷体_GB2312" w:cs="楷体_GB2312"/>
          <w:spacing w:val="0"/>
          <w:sz w:val="31"/>
          <w:szCs w:val="31"/>
          <w:shd w:val="clear" w:fill="FFFFFF"/>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仿宋_GB2312" w:eastAsia="仿宋_GB2312" w:cs="仿宋_GB2312"/>
          <w:spacing w:val="0"/>
          <w:sz w:val="31"/>
          <w:szCs w:val="31"/>
          <w:shd w:val="clear" w:fill="FFFFFF"/>
        </w:rPr>
        <w:t> </w:t>
      </w:r>
      <w:r>
        <w:rPr>
          <w:rFonts w:hint="eastAsia" w:ascii="仿宋_GB2312" w:eastAsia="仿宋_GB2312" w:cs="仿宋_GB2312"/>
          <w:spacing w:val="0"/>
          <w:sz w:val="31"/>
          <w:szCs w:val="31"/>
          <w:shd w:val="clear" w:fill="FFFFFF"/>
          <w:lang w:val="en-US" w:eastAsia="zh-CN"/>
        </w:rPr>
        <w:t>我局</w:t>
      </w:r>
      <w:r>
        <w:rPr>
          <w:rFonts w:hint="eastAsia" w:ascii="仿宋_GB2312" w:eastAsia="仿宋_GB2312" w:cs="仿宋_GB2312"/>
          <w:color w:val="auto"/>
          <w:sz w:val="32"/>
          <w:szCs w:val="32"/>
        </w:rPr>
        <w:t>密切关注申请情况，严格落实依申请公开办理制度，</w:t>
      </w:r>
      <w:r>
        <w:rPr>
          <w:rFonts w:hint="eastAsia" w:ascii="仿宋_GB2312" w:eastAsia="仿宋_GB2312" w:cs="仿宋_GB2312"/>
          <w:spacing w:val="0"/>
          <w:sz w:val="31"/>
          <w:szCs w:val="31"/>
          <w:shd w:val="clear" w:fill="FFFFFF"/>
        </w:rPr>
        <w:t>202</w:t>
      </w:r>
      <w:r>
        <w:rPr>
          <w:rFonts w:hint="eastAsia" w:ascii="仿宋_GB2312" w:eastAsia="仿宋_GB2312" w:cs="仿宋_GB2312"/>
          <w:spacing w:val="0"/>
          <w:sz w:val="31"/>
          <w:szCs w:val="31"/>
          <w:shd w:val="clear" w:fill="FFFFFF"/>
          <w:lang w:val="en-US" w:eastAsia="zh-CN"/>
        </w:rPr>
        <w:t>2</w:t>
      </w:r>
      <w:r>
        <w:rPr>
          <w:rFonts w:hint="eastAsia" w:ascii="仿宋_GB2312" w:eastAsia="仿宋_GB2312" w:cs="仿宋_GB2312"/>
          <w:spacing w:val="0"/>
          <w:sz w:val="31"/>
          <w:szCs w:val="31"/>
          <w:shd w:val="clear" w:fill="FFFFFF"/>
        </w:rPr>
        <w:t>年，我局共收到信息公开申请0件。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楷体_GB2312" w:eastAsia="楷体_GB2312" w:cs="楷体_GB2312"/>
          <w:spacing w:val="0"/>
          <w:sz w:val="31"/>
          <w:szCs w:val="31"/>
          <w:shd w:val="clear" w:fill="FFFFFF"/>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仿宋_GB2312" w:eastAsia="仿宋_GB2312" w:cs="仿宋_GB2312"/>
          <w:spacing w:val="0"/>
          <w:sz w:val="31"/>
          <w:szCs w:val="31"/>
          <w:shd w:val="clear" w:fill="FFFFFF"/>
        </w:rPr>
        <w:t>一是做好政府信息公开审核机制，严格内容发布审核制度，确保政府信息公开的权威性和规范性。二是认真落实政府信息公开保密机制，严格遵守“涉密信息不上网，上网信息不涉密”的原则，在确保应公开尽公开的基础上，保障相关个人信息的隐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楷体_GB2312" w:eastAsia="楷体_GB2312" w:cs="楷体_GB2312"/>
          <w:spacing w:val="0"/>
          <w:sz w:val="31"/>
          <w:szCs w:val="31"/>
          <w:shd w:val="clear" w:fill="FFFFFF"/>
        </w:rPr>
        <w:t>（四）政府信息公开平台建设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仿宋_GB2312" w:eastAsia="仿宋_GB2312" w:cs="仿宋_GB2312"/>
          <w:spacing w:val="0"/>
          <w:sz w:val="31"/>
          <w:szCs w:val="31"/>
          <w:shd w:val="clear" w:fill="FFFFFF"/>
        </w:rPr>
        <w:t>我局按照相关要求不断完善门户网站信息公开专栏建设和微信公众号“台儿庄医疗保障”的日常检查、维护和更新，加强内容审核，严格内容发布审核制度，确保法定主动公开内容权威准确、公开到位。加强政府信息公开平台安全管理，保障政府信息公开平台平稳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楷体_GB2312" w:eastAsia="楷体_GB2312" w:cs="楷体_GB2312"/>
          <w:spacing w:val="0"/>
          <w:sz w:val="31"/>
          <w:szCs w:val="31"/>
          <w:shd w:val="clear" w:fill="FFFFFF"/>
        </w:rPr>
        <w:t>（五）监督保障情况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我局不断完善政府信息公开工作机制和信息发布审核流程，明确责任工作室，强化监督检查，更新我局信息公开指南，发布政府信息公开工作年度报告，切实保障人民群众知情权、参与权和监督权，做到公开透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仿宋_GB2312"/>
          <w:color w:val="auto"/>
          <w:sz w:val="32"/>
          <w:szCs w:val="32"/>
        </w:rPr>
      </w:pPr>
      <w:r>
        <w:rPr>
          <w:rFonts w:hint="eastAsia" w:ascii="楷体_GB2312" w:eastAsia="楷体_GB2312" w:cs="楷体_GB2312"/>
          <w:spacing w:val="0"/>
          <w:sz w:val="31"/>
          <w:szCs w:val="31"/>
          <w:shd w:val="clear" w:fill="FFFFFF"/>
          <w:lang w:val="en-US" w:eastAsia="zh-CN"/>
        </w:rPr>
        <w:t xml:space="preserve">    </w:t>
      </w:r>
      <w:r>
        <w:rPr>
          <w:rFonts w:hint="eastAsia" w:ascii="楷体_GB2312" w:eastAsia="楷体_GB2312" w:cs="楷体_GB2312"/>
          <w:spacing w:val="0"/>
          <w:sz w:val="31"/>
          <w:szCs w:val="31"/>
          <w:shd w:val="clear" w:fill="FFFFFF"/>
        </w:rPr>
        <w:t>（</w:t>
      </w:r>
      <w:r>
        <w:rPr>
          <w:rFonts w:hint="eastAsia" w:ascii="楷体_GB2312" w:eastAsia="楷体_GB2312" w:cs="楷体_GB2312"/>
          <w:spacing w:val="0"/>
          <w:sz w:val="31"/>
          <w:szCs w:val="31"/>
          <w:shd w:val="clear" w:fill="FFFFFF"/>
          <w:lang w:val="en-US" w:eastAsia="zh-CN"/>
        </w:rPr>
        <w:t>六</w:t>
      </w:r>
      <w:r>
        <w:rPr>
          <w:rFonts w:hint="eastAsia" w:ascii="楷体_GB2312" w:eastAsia="楷体_GB2312" w:cs="楷体_GB2312"/>
          <w:spacing w:val="0"/>
          <w:sz w:val="31"/>
          <w:szCs w:val="31"/>
          <w:shd w:val="clear" w:fill="FFFFFF"/>
        </w:rPr>
        <w:t>）建议提案办理情况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根据《政府信息公开条例》第二十条第八项要求，对20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年建议提案办理情况进行了公开。我</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高度重视人大代表建议和政协委员提案办理，完善机制、狠抓落实，取得了良好成效。</w:t>
      </w:r>
      <w:r>
        <w:rPr>
          <w:rFonts w:hint="eastAsia" w:ascii="仿宋_GB2312" w:eastAsia="仿宋_GB2312" w:cs="仿宋_GB2312"/>
          <w:color w:val="auto"/>
          <w:sz w:val="32"/>
          <w:szCs w:val="32"/>
          <w:lang w:val="en-US" w:eastAsia="zh-CN"/>
        </w:rPr>
        <w:t>全年</w:t>
      </w:r>
      <w:r>
        <w:rPr>
          <w:rFonts w:hint="eastAsia" w:ascii="仿宋_GB2312" w:eastAsia="仿宋_GB2312" w:cs="仿宋_GB2312"/>
          <w:color w:val="auto"/>
          <w:sz w:val="32"/>
          <w:szCs w:val="32"/>
        </w:rPr>
        <w:t>共收到</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级</w:t>
      </w:r>
      <w:r>
        <w:rPr>
          <w:rFonts w:hint="eastAsia" w:ascii="仿宋_GB2312" w:eastAsia="仿宋_GB2312" w:cs="仿宋_GB2312"/>
          <w:color w:val="auto"/>
          <w:sz w:val="32"/>
          <w:szCs w:val="32"/>
          <w:lang w:val="en-US" w:eastAsia="zh-CN"/>
        </w:rPr>
        <w:t>人大建议</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件、区级政协提案</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件。截</w:t>
      </w:r>
      <w:r>
        <w:rPr>
          <w:rFonts w:hint="eastAsia" w:ascii="仿宋_GB2312" w:eastAsia="仿宋_GB2312" w:cs="仿宋_GB2312"/>
          <w:color w:val="auto"/>
          <w:sz w:val="32"/>
          <w:szCs w:val="32"/>
        </w:rPr>
        <w:t>至目前，承接的建议、提案均在规定的答复时限内答复完毕，答复率达100%。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pPr>
      <w:r>
        <w:rPr>
          <w:rFonts w:hint="eastAsia" w:ascii="黑体" w:hAnsi="宋体" w:eastAsia="黑体" w:cs="黑体"/>
          <w:spacing w:val="0"/>
          <w:sz w:val="31"/>
          <w:szCs w:val="31"/>
          <w:shd w:val="clear" w:fill="FFFFFF"/>
        </w:rPr>
        <w:t>二、主动公开政府信息情况</w:t>
      </w:r>
    </w:p>
    <w:tbl>
      <w:tblPr>
        <w:tblStyle w:val="6"/>
        <w:tblW w:w="88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2205"/>
        <w:gridCol w:w="2205"/>
        <w:gridCol w:w="2205"/>
        <w:gridCol w:w="22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outset"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行政许可</w:t>
            </w:r>
          </w:p>
        </w:tc>
        <w:tc>
          <w:tcPr>
            <w:tcW w:w="6615" w:type="dxa"/>
            <w:gridSpan w:val="3"/>
            <w:tcBorders>
              <w:top w:val="nil"/>
              <w:left w:val="nil"/>
              <w:bottom w:val="outset"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outset"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行政处罚</w:t>
            </w:r>
          </w:p>
        </w:tc>
        <w:tc>
          <w:tcPr>
            <w:tcW w:w="6615" w:type="dxa"/>
            <w:gridSpan w:val="3"/>
            <w:tcBorders>
              <w:top w:val="nil"/>
              <w:left w:val="nil"/>
              <w:bottom w:val="outset"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仿宋_GB2312" w:eastAsia="仿宋_GB2312" w:cs="仿宋_GB2312"/>
                <w:sz w:val="21"/>
                <w:szCs w:val="21"/>
                <w:lang w:val="en-US" w:eastAsia="zh-CN"/>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行政强制</w:t>
            </w:r>
          </w:p>
        </w:tc>
        <w:tc>
          <w:tcPr>
            <w:tcW w:w="6615" w:type="dxa"/>
            <w:gridSpan w:val="3"/>
            <w:tcBorders>
              <w:top w:val="nil"/>
              <w:left w:val="nil"/>
              <w:bottom w:val="outset"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70" w:hRule="atLeast"/>
        </w:trPr>
        <w:tc>
          <w:tcPr>
            <w:tcW w:w="8820" w:type="dxa"/>
            <w:gridSpan w:val="4"/>
            <w:tcBorders>
              <w:top w:val="nil"/>
              <w:left w:val="single" w:color="auto" w:sz="6" w:space="0"/>
              <w:bottom w:val="outset"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eastAsia="仿宋_GB2312" w:cs="仿宋_GB2312"/>
                <w:sz w:val="21"/>
                <w:szCs w:val="21"/>
              </w:rPr>
              <w:t>行政事业性收费</w:t>
            </w:r>
          </w:p>
        </w:tc>
        <w:tc>
          <w:tcPr>
            <w:tcW w:w="6615" w:type="dxa"/>
            <w:gridSpan w:val="3"/>
            <w:tcBorders>
              <w:top w:val="nil"/>
              <w:left w:val="nil"/>
              <w:bottom w:val="outset"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0</w:t>
            </w:r>
          </w:p>
        </w:tc>
      </w:tr>
    </w:tbl>
    <w:p>
      <w:pPr>
        <w:pStyle w:val="3"/>
        <w:keepNext w:val="0"/>
        <w:keepLines w:val="0"/>
        <w:widowControl/>
        <w:suppressLineNumbers w:val="0"/>
        <w:spacing w:line="315" w:lineRule="atLeast"/>
      </w:pPr>
    </w:p>
    <w:p>
      <w:pPr>
        <w:pStyle w:val="3"/>
        <w:keepNext w:val="0"/>
        <w:keepLines w:val="0"/>
        <w:widowControl/>
        <w:suppressLineNumbers w:val="0"/>
        <w:spacing w:line="315" w:lineRule="atLeast"/>
        <w:jc w:val="both"/>
      </w:pPr>
      <w:r>
        <w:rPr>
          <w:rFonts w:hint="eastAsia" w:ascii="黑体" w:hAnsi="宋体" w:eastAsia="黑体" w:cs="黑体"/>
          <w:spacing w:val="0"/>
          <w:sz w:val="31"/>
          <w:szCs w:val="31"/>
          <w:shd w:val="clear" w:fill="FFFFFF"/>
        </w:rPr>
        <w:t>    三、收到和处理政府信息公开申请情况</w:t>
      </w:r>
    </w:p>
    <w:tbl>
      <w:tblPr>
        <w:tblStyle w:val="6"/>
        <w:tblW w:w="9054"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632"/>
        <w:gridCol w:w="1567"/>
        <w:gridCol w:w="2709"/>
        <w:gridCol w:w="770"/>
        <w:gridCol w:w="538"/>
        <w:gridCol w:w="538"/>
        <w:gridCol w:w="685"/>
        <w:gridCol w:w="659"/>
        <w:gridCol w:w="534"/>
        <w:gridCol w:w="42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20" w:hRule="atLeast"/>
          <w:jc w:val="center"/>
        </w:trPr>
        <w:tc>
          <w:tcPr>
            <w:tcW w:w="4908"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楷体_GB2312" w:eastAsia="楷体_GB2312" w:cs="楷体_GB2312"/>
                <w:sz w:val="21"/>
                <w:szCs w:val="21"/>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楷体_GB2312" w:eastAsia="楷体_GB2312" w:cs="楷体_GB2312"/>
                <w:sz w:val="21"/>
                <w:szCs w:val="21"/>
              </w:rPr>
              <w:t>等于第三项加第四项之和）</w:t>
            </w:r>
          </w:p>
        </w:tc>
        <w:tc>
          <w:tcPr>
            <w:tcW w:w="4146"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0" w:hRule="atLeast"/>
          <w:jc w:val="center"/>
        </w:trPr>
        <w:tc>
          <w:tcPr>
            <w:tcW w:w="490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自然人</w:t>
            </w:r>
          </w:p>
        </w:tc>
        <w:tc>
          <w:tcPr>
            <w:tcW w:w="2954"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法人或其他组织</w:t>
            </w:r>
          </w:p>
        </w:tc>
        <w:tc>
          <w:tcPr>
            <w:tcW w:w="42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15" w:hRule="atLeast"/>
          <w:jc w:val="center"/>
        </w:trPr>
        <w:tc>
          <w:tcPr>
            <w:tcW w:w="490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eastAsia" w:ascii="黑体" w:hAnsi="宋体" w:eastAsia="黑体" w:cs="黑体"/>
                <w:sz w:val="21"/>
                <w:szCs w:val="21"/>
              </w:rPr>
              <w:t>商业企业</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科研机构</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社会公益组织</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eastAsia" w:ascii="黑体" w:hAnsi="宋体" w:eastAsia="黑体" w:cs="黑体"/>
                <w:sz w:val="21"/>
                <w:szCs w:val="21"/>
              </w:rPr>
              <w:t>法律服务机构</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60" w:right="-135"/>
              <w:jc w:val="center"/>
            </w:pPr>
            <w:r>
              <w:rPr>
                <w:rFonts w:hint="eastAsia" w:ascii="黑体" w:hAnsi="宋体" w:eastAsia="黑体" w:cs="黑体"/>
                <w:sz w:val="21"/>
                <w:szCs w:val="21"/>
              </w:rPr>
              <w:t>其他</w:t>
            </w:r>
          </w:p>
        </w:tc>
        <w:tc>
          <w:tcPr>
            <w:tcW w:w="4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5" w:hRule="atLeast"/>
          <w:jc w:val="center"/>
        </w:trPr>
        <w:tc>
          <w:tcPr>
            <w:tcW w:w="490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一、</w:t>
            </w:r>
            <w:bookmarkStart w:id="0" w:name="_Hlk66973412"/>
            <w:r>
              <w:rPr>
                <w:rFonts w:hint="eastAsia" w:ascii="黑体" w:hAnsi="宋体" w:eastAsia="黑体" w:cs="黑体"/>
                <w:sz w:val="21"/>
                <w:szCs w:val="21"/>
              </w:rPr>
              <w:t>本年新收政府信息公开申请数量</w:t>
            </w:r>
            <w:bookmarkEnd w:id="0"/>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5" w:hRule="atLeast"/>
          <w:jc w:val="center"/>
        </w:trPr>
        <w:tc>
          <w:tcPr>
            <w:tcW w:w="490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二、上年结转政府信息公开申请数量</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63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eastAsia" w:ascii="黑体" w:hAnsi="宋体" w:eastAsia="黑体" w:cs="黑体"/>
                <w:sz w:val="21"/>
                <w:szCs w:val="21"/>
              </w:rPr>
              <w:t>三、本年度办理结果</w:t>
            </w:r>
          </w:p>
        </w:tc>
        <w:tc>
          <w:tcPr>
            <w:tcW w:w="427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（一）予以公开</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7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（二）部分公开（</w:t>
            </w:r>
            <w:bookmarkStart w:id="1" w:name="_Hlk66973981"/>
            <w:r>
              <w:rPr>
                <w:rFonts w:hint="eastAsia" w:ascii="黑体" w:hAnsi="宋体" w:eastAsia="黑体" w:cs="黑体"/>
                <w:sz w:val="21"/>
                <w:szCs w:val="21"/>
              </w:rPr>
              <w:t>区分处理的，只计这一情形，不计其他情形</w:t>
            </w:r>
            <w:bookmarkEnd w:id="1"/>
            <w:r>
              <w:rPr>
                <w:rFonts w:hint="eastAsia" w:ascii="黑体" w:hAnsi="宋体" w:eastAsia="黑体" w:cs="黑体"/>
                <w:sz w:val="21"/>
                <w:szCs w:val="21"/>
              </w:rPr>
              <w:t>）</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（三）不予公开</w:t>
            </w: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1.属于国家秘密</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3.危及“三安全一稳定”</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5.属于三类内部事务信息</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7.属于行政执法案卷</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（四）无法提供</w:t>
            </w: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1.本机关不掌握相关政府信息</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（五）不予处理</w:t>
            </w: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2.重复申请</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3.要求提供公开出版物</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9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4.无正当理由大量反复申请</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10"/>
            </w:pPr>
            <w:r>
              <w:rPr>
                <w:rFonts w:hint="eastAsia" w:ascii="仿宋_GB2312" w:eastAsia="仿宋_GB2312" w:cs="仿宋_GB2312"/>
                <w:sz w:val="21"/>
                <w:szCs w:val="21"/>
              </w:rPr>
              <w:t>出具已获取信息</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（六）其他处理</w:t>
            </w: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1.申请人无正当理由逾期不补正、行政机关不再处理其政府信息公开申请</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2.申请人逾期未按收费通知要求缴纳费用、行政机关不再处理其政府信息公开申请</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3.其他</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7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（七）总计</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490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四、结转下年度继续办理</w:t>
            </w:r>
          </w:p>
        </w:tc>
        <w:tc>
          <w:tcPr>
            <w:tcW w:w="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65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5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extDirection w:val="lrTb"/>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leftChars="0" w:right="0" w:rightChars="0"/>
              <w:jc w:val="center"/>
            </w:pPr>
            <w:r>
              <w:rPr>
                <w:rFonts w:hint="eastAsia" w:ascii="仿宋_GB2312" w:eastAsia="仿宋_GB2312" w:cs="仿宋_GB2312"/>
                <w:sz w:val="21"/>
                <w:szCs w:val="21"/>
              </w:rPr>
              <w:t>0</w:t>
            </w:r>
          </w:p>
        </w:tc>
        <w:tc>
          <w:tcPr>
            <w:tcW w:w="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bl>
    <w:p>
      <w:pPr>
        <w:pStyle w:val="3"/>
        <w:keepNext w:val="0"/>
        <w:keepLines w:val="0"/>
        <w:widowControl/>
        <w:suppressLineNumbers w:val="0"/>
        <w:spacing w:line="315" w:lineRule="atLeast"/>
        <w:jc w:val="center"/>
      </w:pPr>
      <w:r>
        <w:rPr>
          <w:rFonts w:hint="eastAsia" w:ascii="仿宋_GB2312" w:eastAsia="仿宋_GB2312" w:cs="仿宋_GB2312"/>
          <w:sz w:val="31"/>
          <w:szCs w:val="31"/>
        </w:rPr>
        <w:t> </w:t>
      </w:r>
    </w:p>
    <w:p>
      <w:pPr>
        <w:pStyle w:val="3"/>
        <w:keepNext w:val="0"/>
        <w:keepLines w:val="0"/>
        <w:widowControl/>
        <w:suppressLineNumbers w:val="0"/>
        <w:spacing w:line="315" w:lineRule="atLeast"/>
        <w:ind w:left="0" w:right="0" w:firstLine="645"/>
      </w:pPr>
      <w:r>
        <w:rPr>
          <w:rFonts w:hint="eastAsia" w:ascii="黑体" w:hAnsi="宋体" w:eastAsia="黑体" w:cs="黑体"/>
          <w:sz w:val="31"/>
          <w:szCs w:val="31"/>
        </w:rPr>
        <w:t>四、因政府信息公开工作被申请行政复议、提起行政诉讼情况</w:t>
      </w:r>
      <w:bookmarkStart w:id="10" w:name="_GoBack"/>
      <w:bookmarkEnd w:id="10"/>
    </w:p>
    <w:tbl>
      <w:tblPr>
        <w:tblStyle w:val="6"/>
        <w:tblW w:w="9054"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行政复议</w:t>
            </w:r>
          </w:p>
        </w:tc>
        <w:tc>
          <w:tcPr>
            <w:tcW w:w="5979"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未经复议直接起诉</w:t>
            </w:r>
          </w:p>
        </w:tc>
        <w:tc>
          <w:tcPr>
            <w:tcW w:w="3009"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9" w:name="_Hlk67039688"/>
            <w:r>
              <w:rPr>
                <w:rFonts w:hint="eastAsia" w:ascii="黑体" w:hAnsi="宋体" w:eastAsia="黑体" w:cs="黑体"/>
                <w:sz w:val="19"/>
                <w:szCs w:val="19"/>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eastAsia" w:ascii="黑体" w:hAnsi="宋体" w:eastAsia="黑体" w:cs="黑体"/>
                <w:sz w:val="19"/>
                <w:szCs w:val="19"/>
              </w:rPr>
              <w:t>尚未审结</w:t>
            </w:r>
          </w:p>
        </w:tc>
        <w:tc>
          <w:tcPr>
            <w:tcW w:w="60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c>
          <w:tcPr>
            <w:tcW w:w="6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宋体" w:hAnsi="宋体" w:eastAsia="宋体" w:cs="宋体"/>
                <w:sz w:val="21"/>
                <w:szCs w:val="21"/>
              </w:rPr>
              <w:t>0</w:t>
            </w:r>
          </w:p>
        </w:tc>
      </w:tr>
    </w:tbl>
    <w:p>
      <w:pPr>
        <w:pStyle w:val="3"/>
        <w:keepNext w:val="0"/>
        <w:keepLines w:val="0"/>
        <w:widowControl/>
        <w:suppressLineNumbers w:val="0"/>
        <w:spacing w:line="315" w:lineRule="atLeast"/>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jc w:val="both"/>
        <w:rPr>
          <w:rFonts w:hint="eastAsia" w:ascii="黑体" w:hAnsi="宋体" w:eastAsia="黑体" w:cs="黑体"/>
          <w:spacing w:val="0"/>
          <w:sz w:val="31"/>
          <w:szCs w:val="31"/>
          <w:shd w:val="clear" w:fill="FFFFFF"/>
        </w:rPr>
      </w:pPr>
      <w:r>
        <w:rPr>
          <w:rFonts w:hint="eastAsia" w:ascii="黑体" w:hAnsi="宋体" w:eastAsia="黑体" w:cs="黑体"/>
          <w:spacing w:val="0"/>
          <w:sz w:val="31"/>
          <w:szCs w:val="31"/>
          <w:shd w:val="clear" w:fill="FFFFFF"/>
        </w:rPr>
        <w:t>存在的主要问题及改进情况</w:t>
      </w:r>
    </w:p>
    <w:p>
      <w:pPr>
        <w:pStyle w:val="3"/>
        <w:keepNext w:val="0"/>
        <w:keepLines w:val="0"/>
        <w:widowControl/>
        <w:numPr>
          <w:ilvl w:val="0"/>
          <w:numId w:val="3"/>
        </w:numPr>
        <w:suppressLineNumbers w:val="0"/>
        <w:spacing w:line="555" w:lineRule="atLeast"/>
        <w:ind w:left="0" w:right="0" w:firstLine="615"/>
        <w:rPr>
          <w:rFonts w:hint="eastAsia" w:ascii="楷体_GB2312" w:eastAsia="楷体_GB2312" w:cs="楷体_GB2312"/>
          <w:spacing w:val="0"/>
          <w:sz w:val="31"/>
          <w:szCs w:val="31"/>
          <w:shd w:val="clear" w:fill="FFFFFF"/>
        </w:rPr>
      </w:pPr>
      <w:r>
        <w:rPr>
          <w:rFonts w:hint="eastAsia" w:ascii="楷体_GB2312" w:eastAsia="楷体_GB2312" w:cs="楷体_GB2312"/>
          <w:spacing w:val="0"/>
          <w:sz w:val="31"/>
          <w:szCs w:val="31"/>
          <w:shd w:val="clear" w:fill="FFFFFF"/>
        </w:rPr>
        <w:t>存在</w:t>
      </w:r>
      <w:r>
        <w:rPr>
          <w:rFonts w:hint="eastAsia" w:ascii="楷体_GB2312" w:eastAsia="楷体_GB2312" w:cs="楷体_GB2312"/>
          <w:spacing w:val="0"/>
          <w:sz w:val="31"/>
          <w:szCs w:val="31"/>
          <w:shd w:val="clear" w:fill="FFFFFF"/>
          <w:lang w:val="en-US" w:eastAsia="zh-CN"/>
        </w:rPr>
        <w:t>的主要</w:t>
      </w:r>
      <w:r>
        <w:rPr>
          <w:rFonts w:hint="eastAsia" w:ascii="楷体_GB2312" w:eastAsia="楷体_GB2312" w:cs="楷体_GB2312"/>
          <w:spacing w:val="0"/>
          <w:sz w:val="31"/>
          <w:szCs w:val="31"/>
          <w:shd w:val="clear" w:fill="FFFFFF"/>
        </w:rPr>
        <w:t>问题</w:t>
      </w:r>
    </w:p>
    <w:p>
      <w:pPr>
        <w:pStyle w:val="3"/>
        <w:keepNext w:val="0"/>
        <w:keepLines w:val="0"/>
        <w:widowControl/>
        <w:numPr>
          <w:ilvl w:val="0"/>
          <w:numId w:val="0"/>
        </w:numPr>
        <w:suppressLineNumbers w:val="0"/>
        <w:spacing w:line="555" w:lineRule="atLeast"/>
        <w:ind w:right="0" w:rightChars="0"/>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2022年度我局政务公开各项工作扎实有序，取得一些成效，但仍存在一些薄弱环节和问题:</w:t>
      </w:r>
    </w:p>
    <w:p>
      <w:pPr>
        <w:pStyle w:val="3"/>
        <w:keepNext w:val="0"/>
        <w:keepLines w:val="0"/>
        <w:widowControl/>
        <w:numPr>
          <w:ilvl w:val="0"/>
          <w:numId w:val="0"/>
        </w:numPr>
        <w:suppressLineNumbers w:val="0"/>
        <w:spacing w:line="555" w:lineRule="atLeast"/>
        <w:ind w:right="0" w:rightChars="0"/>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lang w:val="en-US" w:eastAsia="zh-CN"/>
        </w:rPr>
        <w:t xml:space="preserve">    </w:t>
      </w:r>
      <w:r>
        <w:rPr>
          <w:rFonts w:hint="eastAsia" w:ascii="仿宋_GB2312" w:eastAsia="仿宋_GB2312" w:cs="仿宋_GB2312"/>
          <w:sz w:val="31"/>
          <w:szCs w:val="31"/>
          <w:shd w:val="clear" w:fill="FFFFFF"/>
        </w:rPr>
        <w:t>不足之处:</w:t>
      </w:r>
      <w:r>
        <w:rPr>
          <w:rFonts w:hint="eastAsia" w:ascii="仿宋_GB2312" w:eastAsia="仿宋_GB2312" w:cs="仿宋_GB2312"/>
          <w:sz w:val="31"/>
          <w:szCs w:val="31"/>
          <w:shd w:val="clear" w:fill="FFFFFF"/>
          <w:lang w:val="en-US" w:eastAsia="zh-CN"/>
        </w:rPr>
        <w:t>一是政务新媒体的宣传覆盖率小。由于关注人数较少，发布的相关信息的阅读量不高，导致政策等信息覆盖率不足。二</w:t>
      </w:r>
      <w:r>
        <w:rPr>
          <w:rFonts w:hint="eastAsia" w:ascii="仿宋_GB2312" w:eastAsia="仿宋_GB2312" w:cs="仿宋_GB2312"/>
          <w:sz w:val="31"/>
          <w:szCs w:val="31"/>
          <w:shd w:val="clear" w:fill="FFFFFF"/>
        </w:rPr>
        <w:t>是</w:t>
      </w:r>
      <w:r>
        <w:rPr>
          <w:rFonts w:hint="eastAsia" w:ascii="仿宋_GB2312" w:eastAsia="仿宋_GB2312" w:cs="仿宋_GB2312"/>
          <w:sz w:val="31"/>
          <w:szCs w:val="31"/>
          <w:shd w:val="clear" w:fill="FFFFFF"/>
          <w:lang w:val="en-US" w:eastAsia="zh-CN"/>
        </w:rPr>
        <w:t>政务信息</w:t>
      </w:r>
      <w:r>
        <w:rPr>
          <w:rFonts w:hint="eastAsia" w:ascii="仿宋_GB2312" w:eastAsia="仿宋_GB2312" w:cs="仿宋_GB2312"/>
          <w:sz w:val="31"/>
          <w:szCs w:val="31"/>
          <w:shd w:val="clear" w:fill="FFFFFF"/>
        </w:rPr>
        <w:t>公开的主动意识还不够强，</w:t>
      </w:r>
      <w:r>
        <w:rPr>
          <w:rFonts w:hint="eastAsia" w:ascii="仿宋_GB2312" w:eastAsia="仿宋_GB2312" w:cs="仿宋_GB2312"/>
          <w:sz w:val="31"/>
          <w:szCs w:val="31"/>
          <w:shd w:val="clear" w:fill="FFFFFF"/>
          <w:lang w:val="en-US" w:eastAsia="zh-CN"/>
        </w:rPr>
        <w:t>仍需提高主动公开的个人意识</w:t>
      </w:r>
      <w:r>
        <w:rPr>
          <w:rFonts w:hint="eastAsia" w:ascii="仿宋_GB2312" w:eastAsia="仿宋_GB2312" w:cs="仿宋_GB2312"/>
          <w:sz w:val="31"/>
          <w:szCs w:val="31"/>
          <w:shd w:val="clear" w:fill="FFFFFF"/>
          <w:lang w:eastAsia="zh-CN"/>
        </w:rPr>
        <w:t>，</w:t>
      </w:r>
      <w:r>
        <w:rPr>
          <w:rFonts w:hint="eastAsia" w:ascii="仿宋_GB2312" w:eastAsia="仿宋_GB2312" w:cs="仿宋_GB2312"/>
          <w:sz w:val="31"/>
          <w:szCs w:val="31"/>
          <w:shd w:val="clear" w:fill="FFFFFF"/>
        </w:rPr>
        <w:t>进一步提升网站管理、信息公开的能力和水平。</w:t>
      </w:r>
    </w:p>
    <w:p>
      <w:pPr>
        <w:pStyle w:val="3"/>
        <w:keepNext w:val="0"/>
        <w:keepLines w:val="0"/>
        <w:widowControl/>
        <w:numPr>
          <w:ilvl w:val="0"/>
          <w:numId w:val="3"/>
        </w:numPr>
        <w:suppressLineNumbers w:val="0"/>
        <w:spacing w:line="555" w:lineRule="atLeast"/>
        <w:ind w:left="0" w:leftChars="0" w:right="0" w:firstLine="615" w:firstLineChars="0"/>
        <w:rPr>
          <w:rFonts w:hint="eastAsia" w:ascii="楷体_GB2312" w:eastAsia="楷体_GB2312" w:cs="楷体_GB2312"/>
          <w:spacing w:val="0"/>
          <w:sz w:val="31"/>
          <w:szCs w:val="31"/>
          <w:shd w:val="clear" w:fill="FFFFFF"/>
          <w:lang w:val="en-US" w:eastAsia="zh-CN"/>
        </w:rPr>
      </w:pPr>
      <w:r>
        <w:rPr>
          <w:rFonts w:hint="eastAsia" w:ascii="楷体_GB2312" w:eastAsia="楷体_GB2312" w:cs="楷体_GB2312"/>
          <w:spacing w:val="0"/>
          <w:sz w:val="31"/>
          <w:szCs w:val="31"/>
          <w:shd w:val="clear" w:fill="FFFFFF"/>
        </w:rPr>
        <w:t>改进</w:t>
      </w:r>
      <w:r>
        <w:rPr>
          <w:rFonts w:hint="eastAsia" w:ascii="楷体_GB2312" w:eastAsia="楷体_GB2312" w:cs="楷体_GB2312"/>
          <w:spacing w:val="0"/>
          <w:sz w:val="31"/>
          <w:szCs w:val="31"/>
          <w:shd w:val="clear" w:fill="FFFFFF"/>
          <w:lang w:val="en-US" w:eastAsia="zh-CN"/>
        </w:rPr>
        <w:t>情况及下一步工作打算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针对存在的各项问题，</w:t>
      </w:r>
      <w:r>
        <w:rPr>
          <w:rFonts w:ascii="仿宋_GB2312" w:hAnsi="Ã¥Â¾Â®Ã¨Â½Â¯Ã©â€ºâ€¦Ã©Â»â€˜" w:eastAsia="仿宋_GB2312" w:cs="仿宋_GB2312"/>
          <w:i w:val="0"/>
          <w:caps w:val="0"/>
          <w:color w:val="000000"/>
          <w:spacing w:val="0"/>
          <w:sz w:val="31"/>
          <w:szCs w:val="31"/>
          <w:shd w:val="clear" w:fill="FFFFFF"/>
        </w:rPr>
        <w:t>区</w:t>
      </w:r>
      <w:r>
        <w:rPr>
          <w:rFonts w:hint="eastAsia" w:ascii="仿宋_GB2312" w:hAnsi="Ã¥Â¾Â®Ã¨Â½Â¯Ã©â€ºâ€¦Ã©Â»â€˜" w:eastAsia="仿宋_GB2312" w:cs="仿宋_GB2312"/>
          <w:i w:val="0"/>
          <w:caps w:val="0"/>
          <w:color w:val="000000"/>
          <w:spacing w:val="0"/>
          <w:sz w:val="31"/>
          <w:szCs w:val="31"/>
          <w:shd w:val="clear" w:fill="FFFFFF"/>
          <w:lang w:val="en-US" w:eastAsia="zh-CN"/>
        </w:rPr>
        <w:t>医疗保障</w:t>
      </w:r>
      <w:r>
        <w:rPr>
          <w:rFonts w:ascii="仿宋_GB2312" w:hAnsi="Ã¥Â¾Â®Ã¨Â½Â¯Ã©â€ºâ€¦Ã©Â»â€˜" w:eastAsia="仿宋_GB2312" w:cs="仿宋_GB2312"/>
          <w:i w:val="0"/>
          <w:caps w:val="0"/>
          <w:color w:val="000000"/>
          <w:spacing w:val="0"/>
          <w:sz w:val="31"/>
          <w:szCs w:val="31"/>
          <w:shd w:val="clear" w:fill="FFFFFF"/>
        </w:rPr>
        <w:t>局</w:t>
      </w:r>
      <w:r>
        <w:rPr>
          <w:rFonts w:hint="eastAsia" w:ascii="仿宋_GB2312" w:hAnsi="仿宋_GB2312" w:eastAsia="仿宋_GB2312" w:cs="仿宋_GB2312"/>
          <w:i w:val="0"/>
          <w:caps w:val="0"/>
          <w:color w:val="000000"/>
          <w:spacing w:val="0"/>
          <w:sz w:val="32"/>
          <w:szCs w:val="32"/>
          <w:shd w:val="clear" w:fill="FFFFFF"/>
        </w:rPr>
        <w:t>高度重视，按照职责分工进行任务分解，要求及时整改。一是</w:t>
      </w:r>
      <w:r>
        <w:rPr>
          <w:rFonts w:hint="eastAsia" w:ascii="仿宋_GB2312" w:hAnsi="仿宋_GB2312" w:eastAsia="仿宋_GB2312" w:cs="仿宋_GB2312"/>
          <w:i w:val="0"/>
          <w:caps w:val="0"/>
          <w:color w:val="000000"/>
          <w:spacing w:val="0"/>
          <w:sz w:val="32"/>
          <w:szCs w:val="32"/>
          <w:shd w:val="clear" w:fill="FFFFFF"/>
          <w:lang w:val="en-US" w:eastAsia="zh-CN"/>
        </w:rPr>
        <w:t>积极引导关注公众号。</w:t>
      </w:r>
      <w:r>
        <w:rPr>
          <w:rFonts w:hint="eastAsia" w:ascii="仿宋_GB2312" w:hAnsi="仿宋_GB2312" w:eastAsia="仿宋_GB2312" w:cs="仿宋_GB2312"/>
          <w:i w:val="0"/>
          <w:caps w:val="0"/>
          <w:color w:val="000000"/>
          <w:spacing w:val="0"/>
          <w:sz w:val="32"/>
          <w:szCs w:val="32"/>
          <w:shd w:val="clear" w:fill="FFFFFF"/>
        </w:rPr>
        <w:t>充分认识做好政府信息公开工作的重大意义，</w:t>
      </w:r>
      <w:r>
        <w:rPr>
          <w:rFonts w:hint="eastAsia" w:ascii="仿宋_GB2312" w:hAnsi="仿宋_GB2312" w:eastAsia="仿宋_GB2312" w:cs="仿宋_GB2312"/>
          <w:i w:val="0"/>
          <w:caps w:val="0"/>
          <w:color w:val="000000"/>
          <w:spacing w:val="0"/>
          <w:sz w:val="32"/>
          <w:szCs w:val="32"/>
          <w:shd w:val="clear" w:fill="FFFFFF"/>
          <w:lang w:val="en-US" w:eastAsia="zh-CN"/>
        </w:rPr>
        <w:t>加大宣传力度，在宣传材料上提供公众号二维码，积极引导关注，提高宣传覆盖度。二是提高主动公开意识，压实责任，</w:t>
      </w:r>
      <w:r>
        <w:rPr>
          <w:rFonts w:hint="eastAsia" w:ascii="仿宋_GB2312" w:hAnsi="仿宋_GB2312" w:eastAsia="仿宋_GB2312" w:cs="仿宋_GB2312"/>
          <w:i w:val="0"/>
          <w:caps w:val="0"/>
          <w:color w:val="000000"/>
          <w:spacing w:val="0"/>
          <w:sz w:val="32"/>
          <w:szCs w:val="32"/>
          <w:shd w:val="clear" w:fill="FFFFFF"/>
        </w:rPr>
        <w:t>转变思想观念，增强工作主动性和自觉性，不断加大政府信息公开工作力度。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pPr>
      <w:r>
        <w:rPr>
          <w:rFonts w:hint="eastAsia" w:ascii="黑体" w:hAnsi="宋体" w:eastAsia="黑体" w:cs="黑体"/>
          <w:spacing w:val="0"/>
          <w:sz w:val="31"/>
          <w:szCs w:val="31"/>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left"/>
        <w:rPr>
          <w:rFonts w:ascii="Ã¥Â¾Â®Ã¨Â½Â¯Ã©â€ºâ€¦Ã©Â»â€˜" w:hAnsi="Ã¥Â¾Â®Ã¨Â½Â¯Ã©â€ºâ€¦Ã©Â»â€˜" w:eastAsia="Ã¥Â¾Â®Ã¨Â½Â¯Ã©â€ºâ€¦Ã©Â»â€˜" w:cs="Ã¥Â¾Â®Ã¨Â½Â¯Ã©â€ºâ€¦Ã©Â»â€˜"/>
          <w:i w:val="0"/>
          <w:caps w:val="0"/>
          <w:color w:val="000000"/>
          <w:spacing w:val="0"/>
          <w:sz w:val="24"/>
          <w:szCs w:val="24"/>
        </w:rPr>
      </w:pPr>
      <w:r>
        <w:rPr>
          <w:rFonts w:ascii="仿宋_GB2312" w:hAnsi="Ã¥Â¾Â®Ã¨Â½Â¯Ã©â€ºâ€¦Ã©Â»â€˜" w:eastAsia="仿宋_GB2312" w:cs="仿宋_GB2312"/>
          <w:i w:val="0"/>
          <w:caps w:val="0"/>
          <w:color w:val="000000"/>
          <w:spacing w:val="0"/>
          <w:sz w:val="31"/>
          <w:szCs w:val="31"/>
          <w:shd w:val="clear" w:fill="FFFFFF"/>
        </w:rPr>
        <w:t>1.依据《政府信息公开信息处理费管理办法》，区</w:t>
      </w:r>
      <w:r>
        <w:rPr>
          <w:rFonts w:hint="eastAsia" w:ascii="仿宋_GB2312" w:hAnsi="Ã¥Â¾Â®Ã¨Â½Â¯Ã©â€ºâ€¦Ã©Â»â€˜" w:eastAsia="仿宋_GB2312" w:cs="仿宋_GB2312"/>
          <w:i w:val="0"/>
          <w:caps w:val="0"/>
          <w:color w:val="000000"/>
          <w:spacing w:val="0"/>
          <w:sz w:val="31"/>
          <w:szCs w:val="31"/>
          <w:shd w:val="clear" w:fill="FFFFFF"/>
          <w:lang w:val="en-US" w:eastAsia="zh-CN"/>
        </w:rPr>
        <w:t>医疗保障</w:t>
      </w:r>
      <w:r>
        <w:rPr>
          <w:rFonts w:ascii="仿宋_GB2312" w:hAnsi="Ã¥Â¾Â®Ã¨Â½Â¯Ã©â€ºâ€¦Ã©Â»â€˜" w:eastAsia="仿宋_GB2312" w:cs="仿宋_GB2312"/>
          <w:i w:val="0"/>
          <w:caps w:val="0"/>
          <w:color w:val="000000"/>
          <w:spacing w:val="0"/>
          <w:sz w:val="31"/>
          <w:szCs w:val="31"/>
          <w:shd w:val="clear" w:fill="FFFFFF"/>
        </w:rPr>
        <w:t>局全年没有收取信息公开处理费。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仿宋_GB2312" w:hAnsi="Ã¥Â¾Â®Ã¨Â½Â¯Ã©â€ºâ€¦Ã©Â»â€˜" w:eastAsia="仿宋_GB2312" w:cs="仿宋_GB2312"/>
          <w:i w:val="0"/>
          <w:caps w:val="0"/>
          <w:color w:val="000000"/>
          <w:spacing w:val="0"/>
          <w:sz w:val="31"/>
          <w:szCs w:val="31"/>
          <w:shd w:val="clear" w:fill="FFFFFF"/>
        </w:rPr>
        <w:t>2.</w:t>
      </w:r>
      <w:r>
        <w:rPr>
          <w:rFonts w:ascii="仿宋_GB2312" w:hAnsi="Ã¥Â¾Â®Ã¨Â½Â¯Ã©â€ºâ€¦Ã©Â»â€˜" w:eastAsia="仿宋_GB2312" w:cs="仿宋_GB2312"/>
          <w:i w:val="0"/>
          <w:caps w:val="0"/>
          <w:color w:val="000000"/>
          <w:spacing w:val="0"/>
          <w:sz w:val="31"/>
          <w:szCs w:val="31"/>
          <w:shd w:val="clear" w:fill="FFFFFF"/>
        </w:rPr>
        <w:t>区</w:t>
      </w:r>
      <w:r>
        <w:rPr>
          <w:rFonts w:hint="eastAsia" w:ascii="仿宋_GB2312" w:hAnsi="Ã¥Â¾Â®Ã¨Â½Â¯Ã©â€ºâ€¦Ã©Â»â€˜" w:eastAsia="仿宋_GB2312" w:cs="仿宋_GB2312"/>
          <w:i w:val="0"/>
          <w:caps w:val="0"/>
          <w:color w:val="000000"/>
          <w:spacing w:val="0"/>
          <w:sz w:val="31"/>
          <w:szCs w:val="31"/>
          <w:shd w:val="clear" w:fill="FFFFFF"/>
          <w:lang w:val="en-US" w:eastAsia="zh-CN"/>
        </w:rPr>
        <w:t>医疗保障</w:t>
      </w:r>
      <w:r>
        <w:rPr>
          <w:rFonts w:ascii="仿宋_GB2312" w:hAnsi="Ã¥Â¾Â®Ã¨Â½Â¯Ã©â€ºâ€¦Ã©Â»â€˜" w:eastAsia="仿宋_GB2312" w:cs="仿宋_GB2312"/>
          <w:i w:val="0"/>
          <w:caps w:val="0"/>
          <w:color w:val="000000"/>
          <w:spacing w:val="0"/>
          <w:sz w:val="31"/>
          <w:szCs w:val="31"/>
          <w:shd w:val="clear" w:fill="FFFFFF"/>
        </w:rPr>
        <w:t>局</w:t>
      </w:r>
      <w:r>
        <w:rPr>
          <w:rFonts w:hint="eastAsia" w:ascii="仿宋_GB2312" w:hAnsi="Ã¥Â¾Â®Ã¨Â½Â¯Ã©â€ºâ€¦Ã©Â»â€˜" w:eastAsia="仿宋_GB2312" w:cs="仿宋_GB2312"/>
          <w:i w:val="0"/>
          <w:caps w:val="0"/>
          <w:color w:val="000000"/>
          <w:spacing w:val="0"/>
          <w:sz w:val="31"/>
          <w:szCs w:val="31"/>
          <w:shd w:val="clear" w:fill="FFFFFF"/>
        </w:rPr>
        <w:t>严格按照《台儿庄区人民政府办公室关于印发&lt;2022年台儿庄区政务公开工作要点实施方案&gt;的通知》要求，结合</w:t>
      </w:r>
      <w:r>
        <w:rPr>
          <w:rFonts w:hint="eastAsia" w:ascii="仿宋_GB2312" w:hAnsi="Ã¥Â¾Â®Ã¨Â½Â¯Ã©â€ºâ€¦Ã©Â»â€˜" w:eastAsia="仿宋_GB2312" w:cs="仿宋_GB2312"/>
          <w:i w:val="0"/>
          <w:caps w:val="0"/>
          <w:color w:val="000000"/>
          <w:spacing w:val="0"/>
          <w:sz w:val="31"/>
          <w:szCs w:val="31"/>
          <w:shd w:val="clear" w:fill="FFFFFF"/>
          <w:lang w:val="en-US" w:eastAsia="zh-CN"/>
        </w:rPr>
        <w:t>医疗保障领域</w:t>
      </w:r>
      <w:r>
        <w:rPr>
          <w:rFonts w:hint="eastAsia" w:ascii="仿宋_GB2312" w:hAnsi="Ã¥Â¾Â®Ã¨Â½Â¯Ã©â€ºâ€¦Ã©Â»â€˜" w:eastAsia="仿宋_GB2312" w:cs="仿宋_GB2312"/>
          <w:i w:val="0"/>
          <w:caps w:val="0"/>
          <w:color w:val="000000"/>
          <w:spacing w:val="0"/>
          <w:sz w:val="31"/>
          <w:szCs w:val="31"/>
          <w:shd w:val="clear" w:fill="FFFFFF"/>
        </w:rPr>
        <w:t>工作实际，对2022年政务公开重点工作任务进行分工，科学制定工作要点，有序推进政务公开工作。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仿宋_GB2312" w:hAnsi="Ã¥Â¾Â®Ã¨Â½Â¯Ã©â€ºâ€¦Ã©Â»â€˜" w:eastAsia="仿宋_GB2312" w:cs="仿宋_GB2312"/>
          <w:i w:val="0"/>
          <w:caps w:val="0"/>
          <w:color w:val="000000"/>
          <w:spacing w:val="0"/>
          <w:sz w:val="31"/>
          <w:szCs w:val="31"/>
          <w:shd w:val="clear" w:fill="FFFFFF"/>
        </w:rPr>
        <w:t>3.</w:t>
      </w:r>
      <w:r>
        <w:rPr>
          <w:rFonts w:ascii="仿宋_GB2312" w:hAnsi="Ã¥Â¾Â®Ã¨Â½Â¯Ã©â€ºâ€¦Ã©Â»â€˜" w:eastAsia="仿宋_GB2312" w:cs="仿宋_GB2312"/>
          <w:i w:val="0"/>
          <w:caps w:val="0"/>
          <w:color w:val="000000"/>
          <w:spacing w:val="0"/>
          <w:sz w:val="31"/>
          <w:szCs w:val="31"/>
          <w:shd w:val="clear" w:fill="FFFFFF"/>
        </w:rPr>
        <w:t>区</w:t>
      </w:r>
      <w:r>
        <w:rPr>
          <w:rFonts w:hint="eastAsia" w:ascii="仿宋_GB2312" w:hAnsi="Ã¥Â¾Â®Ã¨Â½Â¯Ã©â€ºâ€¦Ã©Â»â€˜" w:eastAsia="仿宋_GB2312" w:cs="仿宋_GB2312"/>
          <w:i w:val="0"/>
          <w:caps w:val="0"/>
          <w:color w:val="000000"/>
          <w:spacing w:val="0"/>
          <w:sz w:val="31"/>
          <w:szCs w:val="31"/>
          <w:shd w:val="clear" w:fill="FFFFFF"/>
          <w:lang w:val="en-US" w:eastAsia="zh-CN"/>
        </w:rPr>
        <w:t>医疗保障</w:t>
      </w:r>
      <w:r>
        <w:rPr>
          <w:rFonts w:ascii="仿宋_GB2312" w:hAnsi="Ã¥Â¾Â®Ã¨Â½Â¯Ã©â€ºâ€¦Ã©Â»â€˜" w:eastAsia="仿宋_GB2312" w:cs="仿宋_GB2312"/>
          <w:i w:val="0"/>
          <w:caps w:val="0"/>
          <w:color w:val="000000"/>
          <w:spacing w:val="0"/>
          <w:sz w:val="31"/>
          <w:szCs w:val="31"/>
          <w:shd w:val="clear" w:fill="FFFFFF"/>
        </w:rPr>
        <w:t>局</w:t>
      </w:r>
      <w:r>
        <w:rPr>
          <w:rFonts w:hint="eastAsia" w:ascii="仿宋_GB2312" w:hAnsi="Ã¥Â¾Â®Ã¨Â½Â¯Ã©â€ºâ€¦Ã©Â»â€˜" w:eastAsia="仿宋_GB2312" w:cs="仿宋_GB2312"/>
          <w:i w:val="0"/>
          <w:caps w:val="0"/>
          <w:color w:val="000000"/>
          <w:spacing w:val="0"/>
          <w:sz w:val="31"/>
          <w:szCs w:val="31"/>
          <w:shd w:val="clear" w:fill="FFFFFF"/>
        </w:rPr>
        <w:t>全年共收到</w:t>
      </w:r>
      <w:r>
        <w:rPr>
          <w:rFonts w:hint="eastAsia" w:ascii="仿宋_GB2312" w:hAnsi="Ã¥Â¾Â®Ã¨Â½Â¯Ã©â€ºâ€¦Ã©Â»â€˜" w:eastAsia="仿宋_GB2312" w:cs="仿宋_GB2312"/>
          <w:i w:val="0"/>
          <w:caps w:val="0"/>
          <w:color w:val="000000"/>
          <w:spacing w:val="0"/>
          <w:sz w:val="31"/>
          <w:szCs w:val="31"/>
          <w:shd w:val="clear" w:fill="FFFFFF"/>
          <w:lang w:val="en-US" w:eastAsia="zh-CN"/>
        </w:rPr>
        <w:t>区</w:t>
      </w:r>
      <w:r>
        <w:rPr>
          <w:rFonts w:hint="eastAsia" w:ascii="仿宋_GB2312" w:hAnsi="Ã¥Â¾Â®Ã¨Â½Â¯Ã©â€ºâ€¦Ã©Â»â€˜" w:eastAsia="仿宋_GB2312" w:cs="仿宋_GB2312"/>
          <w:i w:val="0"/>
          <w:caps w:val="0"/>
          <w:color w:val="000000"/>
          <w:spacing w:val="0"/>
          <w:sz w:val="31"/>
          <w:szCs w:val="31"/>
          <w:shd w:val="clear" w:fill="FFFFFF"/>
        </w:rPr>
        <w:t>级</w:t>
      </w:r>
      <w:r>
        <w:rPr>
          <w:rFonts w:hint="eastAsia" w:ascii="仿宋_GB2312" w:hAnsi="Ã¥Â¾Â®Ã¨Â½Â¯Ã©â€ºâ€¦Ã©Â»â€˜" w:eastAsia="仿宋_GB2312" w:cs="仿宋_GB2312"/>
          <w:i w:val="0"/>
          <w:caps w:val="0"/>
          <w:color w:val="000000"/>
          <w:spacing w:val="0"/>
          <w:sz w:val="31"/>
          <w:szCs w:val="31"/>
          <w:shd w:val="clear" w:fill="FFFFFF"/>
          <w:lang w:val="en-US" w:eastAsia="zh-CN"/>
        </w:rPr>
        <w:t>人大建议2</w:t>
      </w:r>
      <w:r>
        <w:rPr>
          <w:rFonts w:hint="eastAsia" w:ascii="仿宋_GB2312" w:hAnsi="Ã¥Â¾Â®Ã¨Â½Â¯Ã©â€ºâ€¦Ã©Â»â€˜" w:eastAsia="仿宋_GB2312" w:cs="仿宋_GB2312"/>
          <w:i w:val="0"/>
          <w:caps w:val="0"/>
          <w:color w:val="000000"/>
          <w:spacing w:val="0"/>
          <w:sz w:val="31"/>
          <w:szCs w:val="31"/>
          <w:shd w:val="clear" w:fill="FFFFFF"/>
        </w:rPr>
        <w:t>件、区级政协提案</w:t>
      </w:r>
      <w:r>
        <w:rPr>
          <w:rFonts w:hint="eastAsia" w:ascii="仿宋_GB2312" w:hAnsi="Ã¥Â¾Â®Ã¨Â½Â¯Ã©â€ºâ€¦Ã©Â»â€˜" w:eastAsia="仿宋_GB2312" w:cs="仿宋_GB2312"/>
          <w:i w:val="0"/>
          <w:caps w:val="0"/>
          <w:color w:val="000000"/>
          <w:spacing w:val="0"/>
          <w:sz w:val="31"/>
          <w:szCs w:val="31"/>
          <w:shd w:val="clear" w:fill="FFFFFF"/>
          <w:lang w:val="en-US" w:eastAsia="zh-CN"/>
        </w:rPr>
        <w:t>1</w:t>
      </w:r>
      <w:r>
        <w:rPr>
          <w:rFonts w:hint="eastAsia" w:ascii="仿宋_GB2312" w:hAnsi="Ã¥Â¾Â®Ã¨Â½Â¯Ã©â€ºâ€¦Ã©Â»â€˜" w:eastAsia="仿宋_GB2312" w:cs="仿宋_GB2312"/>
          <w:i w:val="0"/>
          <w:caps w:val="0"/>
          <w:color w:val="000000"/>
          <w:spacing w:val="0"/>
          <w:sz w:val="31"/>
          <w:szCs w:val="31"/>
          <w:shd w:val="clear" w:fill="FFFFFF"/>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仿宋_GB2312" w:hAnsi="Ã¥Â¾Â®Ã¨Â½Â¯Ã©â€ºâ€¦Ã©Â»â€˜" w:eastAsia="仿宋_GB2312" w:cs="仿宋_GB2312"/>
          <w:i w:val="0"/>
          <w:caps w:val="0"/>
          <w:color w:val="000000"/>
          <w:spacing w:val="0"/>
          <w:sz w:val="31"/>
          <w:szCs w:val="31"/>
          <w:shd w:val="clear" w:fill="FFFFFF"/>
        </w:rPr>
        <w:t>4.本报告中所列数据的统计期限为2022年1月1日至2022年12月31日。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仿宋_GB2312" w:hAnsi="Ã¥Â¾Â®Ã¨Â½Â¯Ã©â€ºâ€¦Ã©Â»â€˜" w:eastAsia="仿宋_GB2312" w:cs="仿宋_GB2312"/>
          <w:i w:val="0"/>
          <w:caps w:val="0"/>
          <w:color w:val="000000"/>
          <w:spacing w:val="0"/>
          <w:sz w:val="31"/>
          <w:szCs w:val="31"/>
          <w:shd w:val="clear" w:fill="FFFFFF"/>
        </w:rPr>
        <w:t>5.</w:t>
      </w:r>
      <w:r>
        <w:rPr>
          <w:rFonts w:ascii="仿宋_GB2312" w:hAnsi="Ã¥Â¾Â®Ã¨Â½Â¯Ã©â€ºâ€¦Ã©Â»â€˜" w:eastAsia="仿宋_GB2312" w:cs="仿宋_GB2312"/>
          <w:i w:val="0"/>
          <w:caps w:val="0"/>
          <w:color w:val="000000"/>
          <w:spacing w:val="0"/>
          <w:sz w:val="31"/>
          <w:szCs w:val="31"/>
          <w:shd w:val="clear" w:fill="FFFFFF"/>
        </w:rPr>
        <w:t>区</w:t>
      </w:r>
      <w:r>
        <w:rPr>
          <w:rFonts w:hint="eastAsia" w:ascii="仿宋_GB2312" w:hAnsi="Ã¥Â¾Â®Ã¨Â½Â¯Ã©â€ºâ€¦Ã©Â»â€˜" w:eastAsia="仿宋_GB2312" w:cs="仿宋_GB2312"/>
          <w:i w:val="0"/>
          <w:caps w:val="0"/>
          <w:color w:val="000000"/>
          <w:spacing w:val="0"/>
          <w:sz w:val="31"/>
          <w:szCs w:val="31"/>
          <w:shd w:val="clear" w:fill="FFFFFF"/>
          <w:lang w:val="en-US" w:eastAsia="zh-CN"/>
        </w:rPr>
        <w:t>医疗保障</w:t>
      </w:r>
      <w:r>
        <w:rPr>
          <w:rFonts w:ascii="仿宋_GB2312" w:hAnsi="Ã¥Â¾Â®Ã¨Â½Â¯Ã©â€ºâ€¦Ã©Â»â€˜" w:eastAsia="仿宋_GB2312" w:cs="仿宋_GB2312"/>
          <w:i w:val="0"/>
          <w:caps w:val="0"/>
          <w:color w:val="000000"/>
          <w:spacing w:val="0"/>
          <w:sz w:val="31"/>
          <w:szCs w:val="31"/>
          <w:shd w:val="clear" w:fill="FFFFFF"/>
        </w:rPr>
        <w:t>局</w:t>
      </w:r>
      <w:r>
        <w:rPr>
          <w:rFonts w:hint="eastAsia" w:ascii="仿宋_GB2312" w:hAnsi="Ã¥Â¾Â®Ã¨Â½Â¯Ã©â€ºâ€¦Ã©Â»â€˜" w:eastAsia="仿宋_GB2312" w:cs="仿宋_GB2312"/>
          <w:i w:val="0"/>
          <w:caps w:val="0"/>
          <w:color w:val="000000"/>
          <w:spacing w:val="0"/>
          <w:sz w:val="31"/>
          <w:szCs w:val="31"/>
          <w:shd w:val="clear" w:fill="FFFFFF"/>
        </w:rPr>
        <w:t>本年度没有其他需要报告的事项。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仿宋_GB2312" w:hAnsi="Ã¥Â¾Â®Ã¨Â½Â¯Ã©â€ºâ€¦Ã©Â»â€˜" w:eastAsia="仿宋_GB2312" w:cs="仿宋_GB2312"/>
          <w:i w:val="0"/>
          <w:caps w:val="0"/>
          <w:color w:val="000000"/>
          <w:spacing w:val="0"/>
          <w:sz w:val="31"/>
          <w:szCs w:val="31"/>
          <w:shd w:val="clear" w:fill="FFFFFF"/>
        </w:rPr>
        <w:t>6.</w:t>
      </w:r>
      <w:r>
        <w:rPr>
          <w:rFonts w:ascii="仿宋_GB2312" w:hAnsi="Ã¥Â¾Â®Ã¨Â½Â¯Ã©â€ºâ€¦Ã©Â»â€˜" w:eastAsia="仿宋_GB2312" w:cs="仿宋_GB2312"/>
          <w:i w:val="0"/>
          <w:caps w:val="0"/>
          <w:color w:val="000000"/>
          <w:spacing w:val="0"/>
          <w:sz w:val="31"/>
          <w:szCs w:val="31"/>
          <w:shd w:val="clear" w:fill="FFFFFF"/>
        </w:rPr>
        <w:t>区</w:t>
      </w:r>
      <w:r>
        <w:rPr>
          <w:rFonts w:hint="eastAsia" w:ascii="仿宋_GB2312" w:hAnsi="Ã¥Â¾Â®Ã¨Â½Â¯Ã©â€ºâ€¦Ã©Â»â€˜" w:eastAsia="仿宋_GB2312" w:cs="仿宋_GB2312"/>
          <w:i w:val="0"/>
          <w:caps w:val="0"/>
          <w:color w:val="000000"/>
          <w:spacing w:val="0"/>
          <w:sz w:val="31"/>
          <w:szCs w:val="31"/>
          <w:shd w:val="clear" w:fill="FFFFFF"/>
          <w:lang w:val="en-US" w:eastAsia="zh-CN"/>
        </w:rPr>
        <w:t>医疗保障</w:t>
      </w:r>
      <w:r>
        <w:rPr>
          <w:rFonts w:ascii="仿宋_GB2312" w:hAnsi="Ã¥Â¾Â®Ã¨Â½Â¯Ã©â€ºâ€¦Ã©Â»â€˜" w:eastAsia="仿宋_GB2312" w:cs="仿宋_GB2312"/>
          <w:i w:val="0"/>
          <w:caps w:val="0"/>
          <w:color w:val="000000"/>
          <w:spacing w:val="0"/>
          <w:sz w:val="31"/>
          <w:szCs w:val="31"/>
          <w:shd w:val="clear" w:fill="FFFFFF"/>
        </w:rPr>
        <w:t>局</w:t>
      </w:r>
      <w:r>
        <w:rPr>
          <w:rFonts w:hint="eastAsia" w:ascii="仿宋_GB2312" w:hAnsi="Ã¥Â¾Â®Ã¨Â½Â¯Ã©â€ºâ€¦Ã©Â»â€˜" w:eastAsia="仿宋_GB2312" w:cs="仿宋_GB2312"/>
          <w:i w:val="0"/>
          <w:caps w:val="0"/>
          <w:color w:val="000000"/>
          <w:spacing w:val="0"/>
          <w:sz w:val="31"/>
          <w:szCs w:val="31"/>
          <w:shd w:val="clear" w:fill="FFFFFF"/>
        </w:rPr>
        <w:t>无其他有关文件专门要求通过政府信息公开工作年度报告予以报告的事项。</w:t>
      </w:r>
    </w:p>
    <w:p>
      <w:pPr>
        <w:pStyle w:val="3"/>
        <w:keepNext w:val="0"/>
        <w:keepLines w:val="0"/>
        <w:widowControl/>
        <w:suppressLineNumbers w:val="0"/>
        <w:spacing w:line="555" w:lineRule="atLeast"/>
        <w:ind w:left="0" w:right="0" w:firstLine="645"/>
      </w:pPr>
      <w:r>
        <w:rPr>
          <w:rFonts w:hint="eastAsia" w:ascii="仿宋_GB2312" w:eastAsia="仿宋_GB2312" w:cs="仿宋_GB2312"/>
          <w:sz w:val="31"/>
          <w:szCs w:val="31"/>
        </w:rPr>
        <w:t> </w:t>
      </w:r>
    </w:p>
    <w:p>
      <w:pPr>
        <w:pStyle w:val="3"/>
        <w:keepNext w:val="0"/>
        <w:keepLines w:val="0"/>
        <w:widowControl/>
        <w:suppressLineNumbers w:val="0"/>
        <w:spacing w:line="555" w:lineRule="atLeast"/>
        <w:ind w:left="0" w:right="0" w:firstLine="645"/>
        <w:jc w:val="right"/>
      </w:pPr>
      <w:r>
        <w:rPr>
          <w:rFonts w:hint="eastAsia" w:ascii="仿宋_GB2312" w:eastAsia="仿宋_GB2312" w:cs="仿宋_GB2312"/>
          <w:sz w:val="31"/>
          <w:szCs w:val="31"/>
        </w:rPr>
        <w:t>台儿庄区医疗保障局</w:t>
      </w:r>
    </w:p>
    <w:p>
      <w:pPr>
        <w:pStyle w:val="3"/>
        <w:keepNext w:val="0"/>
        <w:keepLines w:val="0"/>
        <w:widowControl/>
        <w:suppressLineNumbers w:val="0"/>
        <w:spacing w:line="555" w:lineRule="atLeast"/>
        <w:ind w:left="0" w:right="0" w:firstLine="645"/>
        <w:jc w:val="right"/>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年1月</w:t>
      </w:r>
      <w:r>
        <w:rPr>
          <w:rFonts w:hint="eastAsia" w:ascii="仿宋_GB2312" w:eastAsia="仿宋_GB2312" w:cs="仿宋_GB2312"/>
          <w:sz w:val="31"/>
          <w:szCs w:val="31"/>
          <w:lang w:val="en-US" w:eastAsia="zh-CN"/>
        </w:rPr>
        <w:t>16</w:t>
      </w:r>
      <w:r>
        <w:rPr>
          <w:rFonts w:hint="eastAsia" w:ascii="仿宋_GB2312" w:eastAsia="仿宋_GB2312" w:cs="仿宋_GB2312"/>
          <w:sz w:val="31"/>
          <w:szCs w:val="31"/>
        </w:rPr>
        <w:t>日</w:t>
      </w:r>
    </w:p>
    <w:p>
      <w:pPr>
        <w:pStyle w:val="3"/>
        <w:keepNext w:val="0"/>
        <w:keepLines w:val="0"/>
        <w:widowControl/>
        <w:suppressLineNumbers w:val="0"/>
        <w:spacing w:line="315" w:lineRule="atLeast"/>
      </w:pPr>
    </w:p>
    <w:p/>
    <w:sectPr>
      <w:pgSz w:w="11906" w:h="16838"/>
      <w:pgMar w:top="1928" w:right="1531" w:bottom="1928"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Ã¥Â¾Â®Ã¨Â½Â¯Ã©â€ºâ€¦Ã©Â»â€˜">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76EE2"/>
    <w:multiLevelType w:val="singleLevel"/>
    <w:tmpl w:val="63C76EE2"/>
    <w:lvl w:ilvl="0" w:tentative="0">
      <w:start w:val="1"/>
      <w:numFmt w:val="chineseCounting"/>
      <w:suff w:val="nothing"/>
      <w:lvlText w:val="%1、"/>
      <w:lvlJc w:val="left"/>
    </w:lvl>
  </w:abstractNum>
  <w:abstractNum w:abstractNumId="1">
    <w:nsid w:val="63C7770C"/>
    <w:multiLevelType w:val="singleLevel"/>
    <w:tmpl w:val="63C7770C"/>
    <w:lvl w:ilvl="0" w:tentative="0">
      <w:start w:val="5"/>
      <w:numFmt w:val="chineseCounting"/>
      <w:suff w:val="nothing"/>
      <w:lvlText w:val="%1、"/>
      <w:lvlJc w:val="left"/>
    </w:lvl>
  </w:abstractNum>
  <w:abstractNum w:abstractNumId="2">
    <w:nsid w:val="63C77740"/>
    <w:multiLevelType w:val="singleLevel"/>
    <w:tmpl w:val="63C77740"/>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65540"/>
    <w:rsid w:val="18C67AA1"/>
    <w:rsid w:val="1CC77608"/>
    <w:rsid w:val="35A65540"/>
    <w:rsid w:val="49AB5C2B"/>
    <w:rsid w:val="71AE2855"/>
    <w:rsid w:val="72213B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2023-01-18T02:48:00Z</dcterms:created>
  <dc:creator>田勤</dc:creator>
  <cp:lastModifiedBy>田勤</cp:lastModifiedBy>
  <dcterms:modified xsi:type="dcterms:W3CDTF">2023-01-30T06:54:37Z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