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台儿庄区民政局202</w:t>
      </w:r>
      <w:r>
        <w:rPr>
          <w:rFonts w:hint="eastAsia" w:ascii="方正小标宋简体" w:hAnsi="方正小标宋简体" w:eastAsia="方正小标宋简体" w:cs="方正小标宋简体"/>
          <w:color w:val="000000"/>
          <w:kern w:val="0"/>
          <w:sz w:val="44"/>
          <w:szCs w:val="44"/>
          <w:lang w:val="en-US" w:eastAsia="zh-CN"/>
        </w:rPr>
        <w:t>2</w:t>
      </w:r>
      <w:r>
        <w:rPr>
          <w:rFonts w:hint="eastAsia" w:ascii="方正小标宋简体" w:hAnsi="方正小标宋简体" w:eastAsia="方正小标宋简体" w:cs="方正小标宋简体"/>
          <w:color w:val="000000"/>
          <w:kern w:val="0"/>
          <w:sz w:val="44"/>
          <w:szCs w:val="44"/>
        </w:rPr>
        <w:t>年政府信息公开工作</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年度报告</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根据《中华人民共和国政府信息公开条例》(以下简称《条例》)规定，现向社会公布台儿庄区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信息公开工作年度报告。本报告内容含总体情况、主动公开政府信息情况、收到和处理政府信息公开申请情况、政府信息公开行政复议和行政诉讼情况、存在问题和改进情况以及其他需要报告的事项。本报告中所列数据的统计期限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US" w:eastAsia="zh-CN"/>
        </w:rPr>
        <w:t>止，如对本报告有疑问，可与台儿庄区民政局联系（地址：枣庄市台儿庄区兴中路86号，邮编：277400，电话：0632-7557008）。</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年，区民政局认真贯彻落实《中华人民共和国</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信息公开条例》，根据区委区政府的要求，以“公开、透明、规范、廉洁、高效”为目标，着力构建程序规范、公开透明、便捷高效的政务公开长效机制。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（一）主动公开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一是加强组织领导，健全公开制度。局政府信息公开工作</w:t>
      </w:r>
      <w:r>
        <w:rPr>
          <w:rFonts w:hint="eastAsia" w:ascii="仿宋_GB2312" w:hAnsi="仿宋_GB2312" w:eastAsia="仿宋_GB2312" w:cs="仿宋_GB2312"/>
          <w:sz w:val="32"/>
          <w:szCs w:val="32"/>
          <w:lang w:val="en-US" w:eastAsia="zh-CN"/>
        </w:rPr>
        <w:t>在局</w:t>
      </w:r>
      <w:r>
        <w:rPr>
          <w:rFonts w:hint="eastAsia" w:ascii="仿宋_GB2312" w:hAnsi="仿宋_GB2312" w:eastAsia="仿宋_GB2312" w:cs="仿宋_GB2312"/>
          <w:sz w:val="32"/>
          <w:szCs w:val="32"/>
        </w:rPr>
        <w:t>政府信息公开领导小组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研究部署、指导协调</w:t>
      </w:r>
      <w:r>
        <w:rPr>
          <w:rFonts w:hint="eastAsia" w:ascii="仿宋_GB2312" w:hAnsi="仿宋_GB2312" w:eastAsia="仿宋_GB2312" w:cs="仿宋_GB2312"/>
          <w:sz w:val="32"/>
          <w:szCs w:val="32"/>
          <w:lang w:val="en-US" w:eastAsia="zh-CN"/>
        </w:rPr>
        <w:t>下，全力保障各项政务公开工作高质量开展。各科室</w:t>
      </w:r>
      <w:r>
        <w:rPr>
          <w:rFonts w:hint="eastAsia" w:ascii="仿宋_GB2312" w:hAnsi="仿宋_GB2312" w:eastAsia="仿宋_GB2312" w:cs="仿宋_GB2312"/>
          <w:sz w:val="32"/>
          <w:szCs w:val="32"/>
        </w:rPr>
        <w:t>严格落实科室职能职责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扎实有效地</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办公室开展政府信息公开工作，形成了职责分明、分工合理、各负其责、齐抓共管的工作局面。二是面向社会公开，方便群众监督。202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170余</w:t>
      </w:r>
      <w:r>
        <w:rPr>
          <w:rFonts w:hint="eastAsia" w:ascii="仿宋_GB2312" w:hAnsi="仿宋_GB2312" w:eastAsia="仿宋_GB2312" w:cs="仿宋_GB2312"/>
          <w:sz w:val="32"/>
          <w:szCs w:val="32"/>
        </w:rPr>
        <w:t>条，主要包括部门通知公告、工作动态、抽查情况和抽查结果等内容。紧盯时间节点，高质量完成人大建议和政协提案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项，答复率达100%，并及时将办理情况进行了公开。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w:t>
      </w:r>
      <w:r>
        <w:rPr>
          <w:rFonts w:hint="default" w:ascii="楷体" w:hAnsi="楷体" w:eastAsia="楷体" w:cs="楷体"/>
          <w:sz w:val="32"/>
          <w:szCs w:val="32"/>
        </w:rPr>
        <w:t>依申请公开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收到信息公开申请。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（三）政府信息管理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政务公开工作机制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宣传工作考核办法、保密审查、依申请公开、评议考核、责任追究等配套工作制度。</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信息发布程序，做好政府信息公开保密审查工作，由办公室专人负责全局的政府信息公开工作，保障信息公开常态化。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w:t>
      </w:r>
      <w:r>
        <w:rPr>
          <w:rFonts w:hint="default" w:ascii="楷体" w:hAnsi="楷体" w:eastAsia="楷体" w:cs="楷体"/>
          <w:sz w:val="32"/>
          <w:szCs w:val="32"/>
        </w:rPr>
        <w:t>政府信息公开平台建设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通过强化管理和升级改造，丰富政务信息公开的内容，做到及时主动发布，实时动态更新。全年通过政府门户网站、公众微信号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AI台庄APP等媒介平台</w:t>
      </w:r>
      <w:r>
        <w:rPr>
          <w:rFonts w:hint="eastAsia" w:ascii="仿宋_GB2312" w:hAnsi="仿宋_GB2312" w:eastAsia="仿宋_GB2312" w:cs="仿宋_GB2312"/>
          <w:sz w:val="32"/>
          <w:szCs w:val="32"/>
        </w:rPr>
        <w:t>及时更新发布区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局相关信息</w:t>
      </w:r>
      <w:r>
        <w:rPr>
          <w:rFonts w:hint="eastAsia" w:ascii="仿宋_GB2312" w:hAnsi="仿宋_GB2312" w:eastAsia="仿宋_GB2312" w:cs="仿宋_GB2312"/>
          <w:sz w:val="32"/>
          <w:szCs w:val="32"/>
          <w:lang w:val="en-US" w:eastAsia="zh-CN"/>
        </w:rPr>
        <w:t>100余</w:t>
      </w:r>
      <w:r>
        <w:rPr>
          <w:rFonts w:hint="eastAsia" w:ascii="仿宋_GB2312" w:hAnsi="仿宋_GB2312" w:eastAsia="仿宋_GB2312" w:cs="仿宋_GB2312"/>
          <w:sz w:val="32"/>
          <w:szCs w:val="32"/>
        </w:rPr>
        <w:t>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default" w:ascii="楷体" w:hAnsi="楷体" w:eastAsia="楷体" w:cs="楷体"/>
          <w:sz w:val="32"/>
          <w:szCs w:val="32"/>
        </w:rPr>
        <w:t>监督保障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政府信息公开工作机制和信息发布审核流程，明确责任科室，强化监督检查，更新信息公开指南，发布政府信息公开工作年度报告，发挥各类新闻媒体平台作用，积极创新活动载体、拓宽政务公开宣传渠道，通过民政救助福利政策明白纸、公示栏、标语、电视台、报刊、网络、微信等方式，及时公开工作进展，公布工作成效，有效扩大社会公众对民政领域信息公开工作的知晓度和满意度，切实保障人民群众知情权、参与权和监督权，做到公开透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二、</w:t>
      </w:r>
      <w:r>
        <w:rPr>
          <w:rFonts w:hint="eastAsia" w:ascii="黑体" w:hAnsi="黑体" w:eastAsia="黑体" w:cs="宋体"/>
          <w:color w:val="000000"/>
          <w:kern w:val="0"/>
          <w:sz w:val="32"/>
          <w:szCs w:val="32"/>
        </w:rPr>
        <w:t>主动公开政府信息情况</w:t>
      </w:r>
    </w:p>
    <w:tbl>
      <w:tblPr>
        <w:tblStyle w:val="5"/>
        <w:tblW w:w="705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20" w:type="dxa"/>
          <w:bottom w:w="60" w:type="dxa"/>
          <w:right w:w="120" w:type="dxa"/>
        </w:tblCellMar>
      </w:tblPr>
      <w:tblGrid>
        <w:gridCol w:w="1764"/>
        <w:gridCol w:w="1764"/>
        <w:gridCol w:w="1764"/>
        <w:gridCol w:w="1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20" w:type="dxa"/>
            <w:bottom w:w="60" w:type="dxa"/>
            <w:right w:w="120" w:type="dxa"/>
          </w:tblCellMar>
        </w:tblPrEx>
        <w:trPr>
          <w:jc w:val="center"/>
        </w:trPr>
        <w:tc>
          <w:tcPr>
            <w:tcW w:w="7056" w:type="dxa"/>
            <w:gridSpan w:val="4"/>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信息内容</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本年制发件数</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本年废止件数</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规章</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行政规范性文件</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7056" w:type="dxa"/>
            <w:gridSpan w:val="4"/>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信息内容</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行政许可</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7056" w:type="dxa"/>
            <w:gridSpan w:val="4"/>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信息内容</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行政处罚</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行政强制</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7056" w:type="dxa"/>
            <w:gridSpan w:val="4"/>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信息内容</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176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行政事业性收费</w:t>
            </w:r>
          </w:p>
        </w:tc>
        <w:tc>
          <w:tcPr>
            <w:tcW w:w="5292"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leftChars="0" w:right="0" w:rightChars="0" w:firstLine="0"/>
              <w:jc w:val="both"/>
              <w:textAlignment w:val="auto"/>
              <w:outlineLvl w:val="9"/>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宋体" w:cs="宋体"/>
          <w:kern w:val="0"/>
          <w:sz w:val="20"/>
          <w:szCs w:val="20"/>
          <w:lang w:val="en-US" w:eastAsia="zh-CN" w:bidi="ar-SA"/>
        </w:rPr>
      </w:pPr>
      <w:r>
        <w:rPr>
          <w:rFonts w:hint="eastAsia" w:ascii="黑体" w:hAnsi="黑体" w:eastAsia="黑体" w:cs="宋体"/>
          <w:color w:val="000000"/>
          <w:kern w:val="0"/>
          <w:sz w:val="32"/>
          <w:szCs w:val="32"/>
          <w:lang w:val="en-US" w:eastAsia="zh-CN"/>
        </w:rPr>
        <w:t>三、收到和处理政府信息公开申请情况</w:t>
      </w:r>
    </w:p>
    <w:tbl>
      <w:tblPr>
        <w:tblStyle w:val="5"/>
        <w:tblW w:w="922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120" w:type="dxa"/>
          <w:bottom w:w="60" w:type="dxa"/>
          <w:right w:w="120" w:type="dxa"/>
        </w:tblCellMar>
      </w:tblPr>
      <w:tblGrid>
        <w:gridCol w:w="522"/>
        <w:gridCol w:w="722"/>
        <w:gridCol w:w="1671"/>
        <w:gridCol w:w="642"/>
        <w:gridCol w:w="642"/>
        <w:gridCol w:w="642"/>
        <w:gridCol w:w="699"/>
        <w:gridCol w:w="710"/>
        <w:gridCol w:w="642"/>
        <w:gridCol w:w="23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291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right="0" w:rightChars="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（本列数据的勾稽关系为：第一项加第二项之和，等于第三项加第四项之和）</w:t>
            </w:r>
          </w:p>
        </w:tc>
        <w:tc>
          <w:tcPr>
            <w:tcW w:w="6311" w:type="dxa"/>
            <w:gridSpan w:val="7"/>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291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642" w:type="dxa"/>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自然人</w:t>
            </w:r>
          </w:p>
        </w:tc>
        <w:tc>
          <w:tcPr>
            <w:tcW w:w="3335" w:type="dxa"/>
            <w:gridSpan w:val="5"/>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法人或其他组织</w:t>
            </w:r>
          </w:p>
        </w:tc>
        <w:tc>
          <w:tcPr>
            <w:tcW w:w="2334" w:type="dxa"/>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trHeight w:val="90" w:hRule="atLeast"/>
          <w:jc w:val="center"/>
        </w:trPr>
        <w:tc>
          <w:tcPr>
            <w:tcW w:w="291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64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商业企业</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科研机构</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社会公益组织</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法律服务机构</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其他</w:t>
            </w:r>
          </w:p>
        </w:tc>
        <w:tc>
          <w:tcPr>
            <w:tcW w:w="2334"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2915"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一、本年新收政府信息公开申请数量</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eastAsia"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2915"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二、上年结转政府信息公开申请数量</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三、本年度办理结果</w:t>
            </w:r>
          </w:p>
        </w:tc>
        <w:tc>
          <w:tcPr>
            <w:tcW w:w="2393" w:type="dxa"/>
            <w:gridSpan w:val="2"/>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（一）予以公开</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eastAsia"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2393" w:type="dxa"/>
            <w:gridSpan w:val="2"/>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（二）部分公开（区分处理的，只计这一情形，不计其他情形）</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（三）不予公开</w:t>
            </w: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1.属于国家秘密</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2.其他法律行政法规禁止公开</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3.危及“三安全一稳定”</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4.保护第三方合法权益</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5.属于三类内部事务信息</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6.属于四类过程性信息</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7.属于行政执法案卷</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8.属于行政查询事项</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（四）无法提供</w:t>
            </w: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1.本机关不掌握相关政府信息</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2.没有现成信息需要另行制作</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3.补正后申请内容仍不明确</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restart"/>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（五）不予处理</w:t>
            </w: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1.信访举报投诉类申请</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2.重复申请</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3.要求提供公开出版物</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4.无正当理由大量反复申请</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5.要求行政机关确认或重新出具已获取信息</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trHeight w:val="1240" w:hRule="atLeast"/>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restart"/>
            <w:tcBorders>
              <w:top w:val="outset" w:color="auto" w:sz="6" w:space="0"/>
              <w:left w:val="outset" w:color="auto" w:sz="6" w:space="0"/>
              <w:right w:val="single" w:color="auto" w:sz="4"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（六）其他处理</w:t>
            </w:r>
          </w:p>
        </w:tc>
        <w:tc>
          <w:tcPr>
            <w:tcW w:w="1671" w:type="dxa"/>
            <w:tcBorders>
              <w:top w:val="outset" w:color="auto" w:sz="6" w:space="0"/>
              <w:left w:val="single" w:color="auto" w:sz="4"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default" w:cs="宋体"/>
                <w:kern w:val="0"/>
                <w:sz w:val="20"/>
                <w:szCs w:val="20"/>
                <w:lang w:val="en-US" w:eastAsia="zh-CN" w:bidi="ar-SA"/>
              </w:rPr>
            </w:pPr>
            <w:r>
              <w:rPr>
                <w:rFonts w:hint="default" w:ascii="宋体" w:hAnsi="宋体" w:eastAsia="宋体" w:cs="宋体"/>
                <w:kern w:val="0"/>
                <w:sz w:val="20"/>
                <w:szCs w:val="20"/>
                <w:lang w:val="en-US" w:eastAsia="zh-CN" w:bidi="ar-SA"/>
              </w:rPr>
              <w:t>1.</w:t>
            </w:r>
            <w:r>
              <w:rPr>
                <w:rFonts w:hint="eastAsia" w:cs="宋体"/>
                <w:kern w:val="0"/>
                <w:sz w:val="20"/>
                <w:szCs w:val="20"/>
                <w:lang w:val="en-US" w:eastAsia="zh-CN" w:bidi="ar-SA"/>
              </w:rPr>
              <w:t>申请人无正当理由逾期不补正、行政机关不再处理其政府信息公开申请</w:t>
            </w:r>
          </w:p>
        </w:tc>
        <w:tc>
          <w:tcPr>
            <w:tcW w:w="642"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trHeight w:val="1210" w:hRule="atLeast"/>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left w:val="outset" w:color="auto" w:sz="6" w:space="0"/>
              <w:right w:val="single" w:color="auto" w:sz="4"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single" w:color="auto" w:sz="4" w:space="0"/>
              <w:left w:val="single" w:color="auto" w:sz="4"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cs="宋体"/>
                <w:kern w:val="0"/>
                <w:sz w:val="20"/>
                <w:szCs w:val="20"/>
                <w:lang w:val="en-US" w:eastAsia="zh-CN" w:bidi="ar-SA"/>
              </w:rPr>
            </w:pPr>
            <w:r>
              <w:rPr>
                <w:rFonts w:hint="eastAsia" w:cs="宋体"/>
                <w:kern w:val="0"/>
                <w:sz w:val="20"/>
                <w:szCs w:val="20"/>
                <w:lang w:val="en-US" w:eastAsia="zh-CN" w:bidi="ar-SA"/>
              </w:rPr>
              <w:t>2.申请人逾期未按收费通知要求缴的费用、行政机关不再处理其政府信息公开申请</w:t>
            </w:r>
          </w:p>
        </w:tc>
        <w:tc>
          <w:tcPr>
            <w:tcW w:w="642"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99"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710"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2334" w:type="dxa"/>
            <w:tcBorders>
              <w:top w:val="single" w:color="auto" w:sz="4" w:space="0"/>
              <w:left w:val="outset" w:color="auto" w:sz="6" w:space="0"/>
              <w:bottom w:val="single" w:color="auto" w:sz="4"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trHeight w:val="335" w:hRule="atLeast"/>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722" w:type="dxa"/>
            <w:vMerge w:val="continue"/>
            <w:tcBorders>
              <w:left w:val="outset" w:color="auto" w:sz="6" w:space="0"/>
              <w:bottom w:val="outset" w:color="auto" w:sz="6" w:space="0"/>
              <w:right w:val="single" w:color="auto" w:sz="4"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default" w:ascii="宋体" w:hAnsi="宋体" w:eastAsia="宋体" w:cs="宋体"/>
                <w:kern w:val="0"/>
                <w:sz w:val="20"/>
                <w:szCs w:val="20"/>
                <w:lang w:val="en-US" w:eastAsia="zh-CN" w:bidi="ar-SA"/>
              </w:rPr>
            </w:pPr>
          </w:p>
        </w:tc>
        <w:tc>
          <w:tcPr>
            <w:tcW w:w="1671" w:type="dxa"/>
            <w:tcBorders>
              <w:top w:val="single" w:color="auto" w:sz="4" w:space="0"/>
              <w:left w:val="single" w:color="auto" w:sz="4"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lang w:val="en-US" w:eastAsia="zh-CN"/>
              </w:rPr>
            </w:pPr>
            <w:r>
              <w:rPr>
                <w:rFonts w:hint="eastAsia" w:cs="宋体"/>
                <w:kern w:val="0"/>
                <w:sz w:val="20"/>
                <w:szCs w:val="20"/>
                <w:lang w:val="en-US" w:eastAsia="zh-CN" w:bidi="ar-SA"/>
              </w:rPr>
              <w:t>3.其他</w:t>
            </w:r>
          </w:p>
        </w:tc>
        <w:tc>
          <w:tcPr>
            <w:tcW w:w="642"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99"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710"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2334" w:type="dxa"/>
            <w:tcBorders>
              <w:top w:val="single" w:color="auto" w:sz="4"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522" w:type="dxa"/>
            <w:vMerge w:val="continue"/>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keepNext w:val="0"/>
              <w:keepLines w:val="0"/>
              <w:pageBreakBefore w:val="0"/>
              <w:widowControl/>
              <w:kinsoku/>
              <w:overflowPunct/>
              <w:topLinePunct w:val="0"/>
              <w:autoSpaceDE/>
              <w:autoSpaceDN/>
              <w:bidi w:val="0"/>
              <w:adjustRightInd/>
              <w:snapToGrid/>
              <w:spacing w:before="0" w:beforeLines="0" w:beforeAutospacing="0" w:after="0" w:afterLines="0" w:afterAutospacing="0" w:line="240" w:lineRule="exact"/>
              <w:ind w:left="0" w:leftChars="0" w:right="0" w:rightChars="0"/>
              <w:jc w:val="both"/>
              <w:textAlignment w:val="auto"/>
              <w:rPr>
                <w:rFonts w:hint="default" w:ascii="宋体" w:hAnsi="宋体" w:eastAsia="宋体" w:cs="宋体"/>
                <w:kern w:val="0"/>
                <w:sz w:val="20"/>
                <w:szCs w:val="20"/>
                <w:lang w:val="en-US" w:eastAsia="zh-CN" w:bidi="ar-SA"/>
              </w:rPr>
            </w:pPr>
          </w:p>
        </w:tc>
        <w:tc>
          <w:tcPr>
            <w:tcW w:w="2393" w:type="dxa"/>
            <w:gridSpan w:val="2"/>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（七）总计</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eastAsia"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eastAsia" w:cs="宋体"/>
                <w:kern w:val="0"/>
                <w:sz w:val="20"/>
                <w:szCs w:val="20"/>
                <w:lang w:val="en-US" w:eastAsia="zh-CN" w:bidi="ar-S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Ex>
        <w:trPr>
          <w:jc w:val="center"/>
        </w:trPr>
        <w:tc>
          <w:tcPr>
            <w:tcW w:w="2915" w:type="dxa"/>
            <w:gridSpan w:val="3"/>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四、结转下年度继续办理</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99"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710"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642"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c>
          <w:tcPr>
            <w:tcW w:w="2334" w:type="dxa"/>
            <w:tcBorders>
              <w:top w:val="outset" w:color="auto" w:sz="6" w:space="0"/>
              <w:left w:val="outset" w:color="auto" w:sz="6" w:space="0"/>
              <w:bottom w:val="outset" w:color="auto" w:sz="6" w:space="0"/>
              <w:right w:val="outset" w:color="auto" w:sz="6" w:space="0"/>
            </w:tcBorders>
            <w:shd w:val="clear" w:color="auto" w:fill="auto"/>
            <w:tcMar>
              <w:top w:w="60" w:type="dxa"/>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jc w:val="both"/>
              <w:textAlignment w:val="auto"/>
              <w:rPr>
                <w:rFonts w:hint="eastAsia"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val="en-US" w:eastAsia="zh-CN"/>
        </w:rPr>
        <w:t>因</w:t>
      </w:r>
      <w:r>
        <w:rPr>
          <w:rFonts w:hint="eastAsia" w:ascii="黑体" w:hAnsi="黑体" w:eastAsia="黑体" w:cs="宋体"/>
          <w:color w:val="000000"/>
          <w:kern w:val="0"/>
          <w:sz w:val="32"/>
          <w:szCs w:val="32"/>
        </w:rPr>
        <w:t>政府信息公开</w:t>
      </w:r>
      <w:r>
        <w:rPr>
          <w:rFonts w:hint="eastAsia" w:ascii="黑体" w:hAnsi="黑体" w:eastAsia="黑体" w:cs="宋体"/>
          <w:color w:val="000000"/>
          <w:kern w:val="0"/>
          <w:sz w:val="32"/>
          <w:szCs w:val="32"/>
          <w:lang w:val="en-US" w:eastAsia="zh-CN"/>
        </w:rPr>
        <w:t>工作被申请</w:t>
      </w:r>
      <w:r>
        <w:rPr>
          <w:rFonts w:hint="eastAsia" w:ascii="黑体" w:hAnsi="黑体" w:eastAsia="黑体" w:cs="宋体"/>
          <w:color w:val="000000"/>
          <w:kern w:val="0"/>
          <w:sz w:val="32"/>
          <w:szCs w:val="32"/>
        </w:rPr>
        <w:t>行政复议、</w:t>
      </w:r>
      <w:r>
        <w:rPr>
          <w:rFonts w:hint="eastAsia" w:ascii="黑体" w:hAnsi="黑体" w:eastAsia="黑体" w:cs="宋体"/>
          <w:color w:val="000000"/>
          <w:kern w:val="0"/>
          <w:sz w:val="32"/>
          <w:szCs w:val="32"/>
          <w:lang w:val="en-US" w:eastAsia="zh-CN"/>
        </w:rPr>
        <w:t>提起</w:t>
      </w:r>
      <w:r>
        <w:rPr>
          <w:rFonts w:hint="eastAsia" w:ascii="黑体" w:hAnsi="黑体" w:eastAsia="黑体" w:cs="宋体"/>
          <w:color w:val="000000"/>
          <w:kern w:val="0"/>
          <w:sz w:val="32"/>
          <w:szCs w:val="32"/>
        </w:rPr>
        <w:t>行政诉讼情况</w:t>
      </w:r>
    </w:p>
    <w:tbl>
      <w:tblPr>
        <w:tblStyle w:val="5"/>
        <w:tblW w:w="9071" w:type="dxa"/>
        <w:jc w:val="center"/>
        <w:tblInd w:w="0" w:type="dxa"/>
        <w:tblLayout w:type="fixed"/>
        <w:tblCellMar>
          <w:top w:w="0" w:type="dxa"/>
          <w:left w:w="0" w:type="dxa"/>
          <w:bottom w:w="0" w:type="dxa"/>
          <w:right w:w="0" w:type="dxa"/>
        </w:tblCellMar>
      </w:tblPr>
      <w:tblGrid>
        <w:gridCol w:w="614"/>
        <w:gridCol w:w="59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00" w:firstLineChars="20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00" w:firstLineChars="20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1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9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00" w:firstLineChars="20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00" w:firstLineChars="20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1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80" w:firstLineChars="200"/>
              <w:jc w:val="both"/>
              <w:textAlignment w:val="auto"/>
              <w:outlineLvl w:val="9"/>
              <w:rPr>
                <w:rFonts w:ascii="宋体" w:hAnsi="宋体" w:eastAsia="宋体" w:cs="宋体"/>
                <w:kern w:val="0"/>
                <w:sz w:val="24"/>
                <w:szCs w:val="24"/>
              </w:rPr>
            </w:pPr>
          </w:p>
        </w:tc>
        <w:tc>
          <w:tcPr>
            <w:tcW w:w="594"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80" w:firstLineChars="200"/>
              <w:jc w:val="both"/>
              <w:textAlignment w:val="auto"/>
              <w:outlineLvl w:val="9"/>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80" w:firstLineChars="200"/>
              <w:jc w:val="both"/>
              <w:textAlignment w:val="auto"/>
              <w:outlineLvl w:val="9"/>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80" w:firstLineChars="200"/>
              <w:jc w:val="both"/>
              <w:textAlignment w:val="auto"/>
              <w:outlineLvl w:val="9"/>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480" w:firstLineChars="200"/>
              <w:jc w:val="both"/>
              <w:textAlignment w:val="auto"/>
              <w:outlineLvl w:val="9"/>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trHeight w:val="457" w:hRule="atLeast"/>
          <w:jc w:val="center"/>
        </w:trPr>
        <w:tc>
          <w:tcPr>
            <w:tcW w:w="61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年，在政府信息公开上取得了一定成效，但仍存在一些问题与不足：一是政府信息公开工作</w:t>
      </w:r>
      <w:r>
        <w:rPr>
          <w:rFonts w:hint="eastAsia" w:ascii="仿宋_GB2312" w:hAnsi="仿宋_GB2312" w:eastAsia="仿宋_GB2312" w:cs="仿宋_GB2312"/>
          <w:sz w:val="32"/>
          <w:szCs w:val="32"/>
          <w:lang w:val="en-US" w:eastAsia="zh-CN"/>
        </w:rPr>
        <w:t>标准高、任务重、时间紧，在网站改版、内容保障时难免出现一些小疏漏</w:t>
      </w:r>
      <w:r>
        <w:rPr>
          <w:rFonts w:hint="eastAsia" w:ascii="仿宋_GB2312" w:hAnsi="仿宋_GB2312" w:eastAsia="仿宋_GB2312" w:cs="仿宋_GB2312"/>
          <w:sz w:val="32"/>
          <w:szCs w:val="32"/>
        </w:rPr>
        <w:t>;二是对网</w:t>
      </w:r>
      <w:r>
        <w:rPr>
          <w:rFonts w:hint="eastAsia" w:ascii="仿宋_GB2312" w:hAnsi="仿宋_GB2312" w:eastAsia="仿宋_GB2312" w:cs="仿宋_GB2312"/>
          <w:sz w:val="32"/>
          <w:szCs w:val="32"/>
          <w:lang w:val="en-US" w:eastAsia="zh-CN"/>
        </w:rPr>
        <w:t>站依申请公开的</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操作</w:t>
      </w:r>
      <w:r>
        <w:rPr>
          <w:rFonts w:hint="eastAsia" w:ascii="仿宋_GB2312" w:hAnsi="仿宋_GB2312" w:eastAsia="仿宋_GB2312" w:cs="仿宋_GB2312"/>
          <w:sz w:val="32"/>
          <w:szCs w:val="32"/>
        </w:rPr>
        <w:t>细则和</w:t>
      </w:r>
      <w:r>
        <w:rPr>
          <w:rFonts w:hint="eastAsia" w:ascii="仿宋_GB2312" w:hAnsi="仿宋_GB2312" w:eastAsia="仿宋_GB2312" w:cs="仿宋_GB2312"/>
          <w:sz w:val="32"/>
          <w:szCs w:val="32"/>
          <w:lang w:val="en-US" w:eastAsia="zh-CN"/>
        </w:rPr>
        <w:t>流程不熟悉</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一是强化服务理念，加强学习。组织相关人员深入学习区委区政府等有关政府信息公开管理的文件精神，统一认识；二是充实工作人员，提高网上信息办理质量、快速受理、及时反馈，提高回复率和及时性，增加群众满意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1.依据《政府信息公开信息处理费管理办法》，区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局全年没有收取信息公开处理费</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局严格按照《台川庄区人民政府办公室关工时发&lt;2022年台川庄区政务公开工作要点生施方案&gt;的通知》要求，结合</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工作实际，对2022年政务公开重点工作任务进行分工，科学制定工作要点，有序推进政务公开工作。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局全年收到人大代表建议和政协主办提案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项，答复率100%，及时将办理情况进行了公开。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年度政务公开工作</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一是社会帮扶救助政策“码上知”。</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val="en-US" w:eastAsia="zh-CN"/>
        </w:rPr>
        <w:t>社会帮扶救助</w:t>
      </w:r>
      <w:r>
        <w:rPr>
          <w:rFonts w:hint="eastAsia" w:ascii="仿宋_GB2312" w:hAnsi="仿宋_GB2312" w:eastAsia="仿宋_GB2312" w:cs="仿宋_GB2312"/>
          <w:sz w:val="32"/>
          <w:szCs w:val="32"/>
        </w:rPr>
        <w:t>二维码，打造社会帮扶“码”上服务，实现帮扶政策“一码通晓”、帮扶信息“一码查询”、帮扶申请“一码办理”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社会帮扶救助信息“码上查”。在区政府网站开设社会帮扶救助信息公示专栏，根据不同救助时间节点，将各项帮扶救助信息予以公示，通过二维码进行链接，实现一键查询，一扫而知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社会帮扶救助申请“码上办”。为方便困难群众办理救助申请，在下放审批权限、简化审批流程、压缩审批时限等优化提升现场办理实效的基础上，利用二维码链接“爱山东”APP,积极宣传推广网上办理，实现了救助申请指尖办、随时办，进一步方便群众。</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5.本报告中所列数据的统计期限为2022年1月1日至2022年12月31日。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局本年度没有其他需要报告的事项。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7.区民政局无其他有关文件专门要求通过政府信息公开工作年度报告予以报告的事项。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台儿庄区民政局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2023年1月16日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3584C"/>
    <w:multiLevelType w:val="singleLevel"/>
    <w:tmpl w:val="4F43584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54E41620"/>
    <w:rsid w:val="0EC456E9"/>
    <w:rsid w:val="1C784D5E"/>
    <w:rsid w:val="34EF39CA"/>
    <w:rsid w:val="43856D08"/>
    <w:rsid w:val="451F44A3"/>
    <w:rsid w:val="4BFF1796"/>
    <w:rsid w:val="54E41620"/>
    <w:rsid w:val="70621B52"/>
    <w:rsid w:val="73786C09"/>
    <w:rsid w:val="7D4C2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2440</Words>
  <Characters>2502</Characters>
  <Lines>0</Lines>
  <Paragraphs>0</Paragraphs>
  <TotalTime>5</TotalTime>
  <ScaleCrop>false</ScaleCrop>
  <LinksUpToDate>false</LinksUpToDate>
  <CharactersWithSpaces>2502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2023-01-09T02:48:00Z</dcterms:created>
  <dc:creator>紅  荳 </dc:creator>
  <cp:lastModifiedBy>紅  荳 </cp:lastModifiedBy>
  <cp:lastPrinted>2023-01-16T01:04:00Z</cp:lastPrinted>
  <dcterms:modified xsi:type="dcterms:W3CDTF">2023-01-29T00:53:44Z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F67B7460FD08436492C7165FC9B01C0F</vt:lpwstr>
  </property>
</Properties>
</file>