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74" w:beforeAutospacing="0" w:after="274" w:afterAutospacing="0" w:line="240" w:lineRule="atLeast"/>
        <w:jc w:val="center"/>
      </w:pPr>
      <w:r>
        <w:rPr>
          <w:rFonts w:ascii="方正小标宋简体" w:hAnsi="方正小标宋简体" w:eastAsia="方正小标宋简体" w:cs="方正小标宋简体"/>
          <w:sz w:val="43"/>
          <w:szCs w:val="43"/>
        </w:rPr>
        <w:t>台儿庄区科技局</w:t>
      </w:r>
      <w:r>
        <w:rPr>
          <w:rFonts w:hint="eastAsia" w:ascii="方正小标宋简体" w:hAnsi="方正小标宋简体" w:eastAsia="方正小标宋简体" w:cs="方正小标宋简体"/>
          <w:sz w:val="43"/>
          <w:szCs w:val="43"/>
        </w:rPr>
        <w:br w:type="textWrapping"/>
      </w:r>
      <w:r>
        <w:rPr>
          <w:rFonts w:hint="eastAsia" w:ascii="方正小标宋简体" w:hAnsi="方正小标宋简体" w:eastAsia="方正小标宋简体" w:cs="方正小标宋简体"/>
          <w:sz w:val="43"/>
          <w:szCs w:val="43"/>
        </w:rPr>
        <w:t>2022年政府信息公开工作年度报告</w:t>
      </w:r>
    </w:p>
    <w:p>
      <w:pPr>
        <w:pStyle w:val="2"/>
        <w:keepNext w:val="0"/>
        <w:keepLines w:val="0"/>
        <w:widowControl/>
        <w:suppressLineNumbers w:val="0"/>
        <w:spacing w:before="274" w:beforeAutospacing="0" w:after="274" w:afterAutospacing="0" w:line="240" w:lineRule="atLeast"/>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Style w:val="5"/>
          <w:rFonts w:ascii="Ã¥Â¾Â®Ã¨Â½Â¯Ã©â€ºâ€¦Ã©Â»â€˜" w:hAnsi="Ã¥Â¾Â®Ã¨Â½Â¯Ã©â€ºâ€¦Ã©Â»â€˜" w:eastAsia="Ã¥Â¾Â®Ã¨Â½Â¯Ã©â€ºâ€¦Ã©Â»â€˜" w:cs="Ã¥Â¾Â®Ã¨Â½Â¯Ã©â€ºâ€¦Ã©Â»â€˜"/>
          <w:i w:val="0"/>
          <w:iCs w:val="0"/>
          <w:color w:val="000000"/>
          <w:spacing w:val="0"/>
          <w:sz w:val="24"/>
          <w:szCs w:val="24"/>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30" w:afterAutospacing="0" w:line="360" w:lineRule="auto"/>
        <w:ind w:left="0" w:firstLine="420"/>
        <w:jc w:val="left"/>
        <w:textAlignment w:val="auto"/>
        <w:rPr>
          <w:rFonts w:hint="eastAsia" w:ascii="宋体" w:hAnsi="宋体" w:eastAsia="宋体" w:cs="宋体"/>
        </w:rPr>
      </w:pP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根据新修订的《中华人民共和国政府信息公开条例》、《国务院办公厅政府信息与政务公开办公室关于政府信息公开工作年度报告有关事项的通知》规定，以及区政府办《关于做好</w:t>
      </w:r>
      <w:r>
        <w:rPr>
          <w:rFonts w:hint="eastAsia" w:ascii="宋体" w:hAnsi="宋体" w:eastAsia="宋体" w:cs="宋体"/>
          <w:i w:val="0"/>
          <w:iCs w:val="0"/>
          <w:sz w:val="24"/>
          <w:szCs w:val="24"/>
          <w:shd w:val="clear" w:fill="FFFFFF"/>
        </w:rPr>
        <w:t>2022</w:t>
      </w:r>
      <w:r>
        <w:rPr>
          <w:rFonts w:hint="default" w:ascii="Ã¥Â¾Â®Ã¨Â½Â¯Ã©â€ºâ€¦Ã©Â»â€˜" w:hAnsi="Ã¥Â¾Â®Ã¨Â½Â¯Ã©â€ºâ€¦Ã©Â»â€˜" w:eastAsia="Ã¥Â¾Â®Ã¨Â½Â¯Ã©â€ºâ€¦Ã©Â»â€˜" w:cs="Ã¥Â¾Â®Ã¨Â½Â¯Ã©â€ºâ€¦Ã©Â»â€˜"/>
          <w:i w:val="0"/>
          <w:iCs w:val="0"/>
          <w:sz w:val="24"/>
          <w:szCs w:val="24"/>
          <w:shd w:val="clear" w:fill="FFFFFF"/>
        </w:rPr>
        <w:t>年政府信息公开工作年度报告编制和发布工作的通知》的工作部署，结合我局工作实际，认真做好政务信息公开各项工作，着力提升信息公开质量，积极落实信息公开工作任务，增强信息公开实效，及时发布信息、解读回应，不断提高公开信息的准确性，不断推动政府信息公开工作迈上新台阶。本报告中所列数据的统计期限自</w:t>
      </w:r>
      <w:r>
        <w:rPr>
          <w:rFonts w:hint="eastAsia" w:ascii="宋体" w:hAnsi="宋体" w:eastAsia="宋体" w:cs="宋体"/>
          <w:i w:val="0"/>
          <w:iCs w:val="0"/>
          <w:sz w:val="24"/>
          <w:szCs w:val="24"/>
          <w:shd w:val="clear" w:fill="FFFFFF"/>
        </w:rPr>
        <w:t>2022年1月1日起至2022年12月31日止。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w:t>
      </w:r>
      <w:r>
        <w:rPr>
          <w:rStyle w:val="5"/>
          <w:rFonts w:hint="default" w:ascii="Ã¥Â¾Â®Ã¨Â½Â¯Ã©â€ºâ€¦Ã©Â»â€˜" w:hAnsi="Ã¥Â¾Â®Ã¨Â½Â¯Ã©â€ºâ€¦Ã©Â»â€˜" w:eastAsia="Ã¥Â¾Â®Ã¨Â½Â¯Ã©â€ºâ€¦Ã©Â»â€˜" w:cs="Ã¥Â¾Â®Ã¨Â½Â¯Ã©â€ºâ€¦Ã©Â»â€˜"/>
          <w:i w:val="0"/>
          <w:iCs w:val="0"/>
          <w:sz w:val="24"/>
          <w:szCs w:val="24"/>
          <w:shd w:val="clear" w:fill="FFFFFF"/>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30" w:afterAutospacing="0" w:line="360" w:lineRule="auto"/>
        <w:ind w:left="420" w:firstLine="476"/>
        <w:jc w:val="left"/>
        <w:textAlignment w:val="auto"/>
      </w:pPr>
      <w:r>
        <w:rPr>
          <w:rFonts w:hint="eastAsia" w:ascii="宋体" w:hAnsi="宋体" w:eastAsia="宋体" w:cs="宋体"/>
          <w:i w:val="0"/>
          <w:iCs w:val="0"/>
          <w:color w:val="000000"/>
          <w:spacing w:val="0"/>
          <w:sz w:val="24"/>
          <w:szCs w:val="24"/>
          <w:shd w:val="clear" w:fill="FFFFFF"/>
        </w:rPr>
        <w:t>2022</w:t>
      </w:r>
      <w:r>
        <w:rPr>
          <w:rFonts w:hint="default" w:ascii="Ã¥Â¾Â®Ã¨Â½Â¯Ã©â€ºâ€¦Ã©Â»â€˜" w:hAnsi="Ã¥Â¾Â®Ã¨Â½Â¯Ã©â€ºâ€¦Ã©Â»â€˜" w:eastAsia="Ã¥Â¾Â®Ã¨Â½Â¯Ã©â€ºâ€¦Ã©Â»â€˜" w:cs="Ã¥Â¾Â®Ã¨Â½Â¯Ã©â€ºâ€¦Ã©Â»â€˜"/>
          <w:i w:val="0"/>
          <w:iCs w:val="0"/>
          <w:sz w:val="24"/>
          <w:szCs w:val="24"/>
          <w:shd w:val="clear" w:fill="FFFFFF"/>
        </w:rPr>
        <w:t>年区科技局进一步加强重点领域信息公开，主动及时发布和更新各类信息，及时更新机构概况、班子领导、内设科等信息，并同步调整信息公开指南相关内容。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418"/>
        <w:jc w:val="left"/>
      </w:pP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w:t>
      </w:r>
      <w:r>
        <w:rPr>
          <w:rStyle w:val="5"/>
          <w:rFonts w:hint="default" w:ascii="Ã¥Â¾Â®Ã¨Â½Â¯Ã©â€ºâ€¦Ã©Â»â€˜" w:hAnsi="Ã¥Â¾Â®Ã¨Â½Â¯Ã©â€ºâ€¦Ã©Â»â€˜" w:eastAsia="Ã¥Â¾Â®Ã¨Â½Â¯Ã©â€ºâ€¦Ã©Â»â€˜" w:cs="Ã¥Â¾Â®Ã¨Â½Â¯Ã©â€ºâ€¦Ã©Â»â€˜"/>
          <w:i w:val="0"/>
          <w:iCs w:val="0"/>
          <w:sz w:val="24"/>
          <w:szCs w:val="24"/>
          <w:shd w:val="clear" w:fill="FFFFFF"/>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30" w:afterAutospacing="0" w:line="360" w:lineRule="auto"/>
        <w:ind w:left="420" w:firstLine="476"/>
        <w:jc w:val="left"/>
        <w:textAlignment w:val="auto"/>
        <w:rPr>
          <w:rFonts w:hint="eastAsia" w:ascii="宋体" w:hAnsi="宋体" w:eastAsia="宋体" w:cs="宋体"/>
        </w:rPr>
      </w:pPr>
      <w:r>
        <w:rPr>
          <w:rFonts w:hint="eastAsia" w:ascii="宋体" w:hAnsi="宋体" w:eastAsia="宋体" w:cs="宋体"/>
          <w:i w:val="0"/>
          <w:iCs w:val="0"/>
          <w:color w:val="000000"/>
          <w:spacing w:val="0"/>
          <w:sz w:val="24"/>
          <w:szCs w:val="24"/>
          <w:shd w:val="clear" w:fill="FFFFFF"/>
        </w:rPr>
        <w:t>共受理政府信息公开申请</w:t>
      </w:r>
      <w:r>
        <w:rPr>
          <w:rFonts w:hint="eastAsia" w:ascii="宋体" w:hAnsi="宋体" w:eastAsia="宋体" w:cs="宋体"/>
          <w:i w:val="0"/>
          <w:iCs w:val="0"/>
          <w:sz w:val="24"/>
          <w:szCs w:val="24"/>
          <w:shd w:val="clear" w:fill="FFFFFF"/>
        </w:rPr>
        <w:t>0件，其中予以公开申请0件，部分公开0件，不予公开0件，无法提供0件，不予处理0件，均在法定期限内予以答复。因政府信息公开被申请行政复议0件，因公民、法人和其他组织认为行政机关政府信息公开工作具体行政行为侵犯其合法权益，提起行政诉讼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jc w:val="left"/>
      </w:pPr>
      <w:r>
        <w:rPr>
          <w:color w:val="000000"/>
          <w:spacing w:val="0"/>
          <w:shd w:val="clear" w:fill="FFFFFF"/>
        </w:rPr>
        <w:t>   </w:t>
      </w: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w:t>
      </w:r>
      <w:r>
        <w:rPr>
          <w:rStyle w:val="5"/>
          <w:rFonts w:hint="default" w:ascii="Ã¥Â¾Â®Ã¨Â½Â¯Ã©â€ºâ€¦Ã©Â»â€˜" w:hAnsi="Ã¥Â¾Â®Ã¨Â½Â¯Ã©â€ºâ€¦Ã©Â»â€˜" w:eastAsia="Ã¥Â¾Â®Ã¨Â½Â¯Ã©â€ºâ€¦Ã©Â»â€˜" w:cs="Ã¥Â¾Â®Ã¨Â½Â¯Ã©â€ºâ€¦Ã©Â»â€˜"/>
          <w:i w:val="0"/>
          <w:iCs w:val="0"/>
          <w:sz w:val="24"/>
          <w:szCs w:val="24"/>
          <w:shd w:val="clear" w:fill="FFFFFF"/>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30" w:afterAutospacing="0" w:line="360" w:lineRule="auto"/>
        <w:ind w:left="0" w:firstLine="420"/>
        <w:jc w:val="left"/>
        <w:textAlignment w:val="auto"/>
      </w:pPr>
      <w:r>
        <w:rPr>
          <w:rFonts w:hint="eastAsia" w:asciiTheme="minorEastAsia" w:hAnsiTheme="minorEastAsia" w:eastAsiaTheme="minorEastAsia" w:cstheme="minorEastAsia"/>
          <w:i w:val="0"/>
          <w:iCs w:val="0"/>
          <w:color w:val="000000"/>
          <w:spacing w:val="0"/>
          <w:sz w:val="24"/>
          <w:szCs w:val="24"/>
          <w:shd w:val="clear" w:fill="FFFFFF"/>
        </w:rPr>
        <w:t>2022</w:t>
      </w:r>
      <w:r>
        <w:rPr>
          <w:rFonts w:hint="default" w:ascii="Ã¥Â¾Â®Ã¨Â½Â¯Ã©â€ºâ€¦Ã©Â»â€˜" w:hAnsi="Ã¥Â¾Â®Ã¨Â½Â¯Ã©â€ºâ€¦Ã©Â»â€˜" w:eastAsia="Ã¥Â¾Â®Ã¨Â½Â¯Ã©â€ºâ€¦Ã©Â»â€˜" w:cs="Ã¥Â¾Â®Ã¨Â½Â¯Ã©â€ºâ€¦Ã©Â»â€˜"/>
          <w:i w:val="0"/>
          <w:iCs w:val="0"/>
          <w:sz w:val="24"/>
          <w:szCs w:val="24"/>
          <w:shd w:val="clear" w:fill="FFFFFF"/>
        </w:rPr>
        <w:t>年，我局认真贯彻落实《条例》，统筹推进政府信息公开各项工作。一是依法主动公开信息，局办公室是信息公开工作的主要部门，负责统筹推进、协调监督全局的政府信息公开工作，并确定专人负责政府信息公开工作，负责对政府信息公开保密审查工作进行监督和指导，做好信息发布、网上依申请公开等相关工作。二是健全完善政府信息公开审查机制，建立健全我局相关制度，制定政府信息发布与保密审查管理制度和信息发布协调制度，修订依申请公开工作制度，动态更新政府信息公开指南和主动公开基本目录。进一步规范政府信息管理，将政府信息公开工作纳入日常工作。结合我局实际，建立完善政府信息公开责任、备案和监督等制度，对公开的政务信息，实行分管领导把关，主要领导签发，制度化、规范化。三是规范公开内容。按照“公开为原则，不公开为例外”的原则，依法依规、及时妥善处理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w:t>
      </w:r>
      <w:r>
        <w:rPr>
          <w:rStyle w:val="5"/>
          <w:rFonts w:hint="default" w:ascii="Ã¥Â¾Â®Ã¨Â½Â¯Ã©â€ºâ€¦Ã©Â»â€˜" w:hAnsi="Ã¥Â¾Â®Ã¨Â½Â¯Ã©â€ºâ€¦Ã©Â»â€˜" w:eastAsia="Ã¥Â¾Â®Ã¨Â½Â¯Ã©â€ºâ€¦Ã©Â»â€˜" w:cs="Ã¥Â¾Â®Ã¨Â½Â¯Ã©â€ºâ€¦Ã©Â»â€˜"/>
          <w:i w:val="0"/>
          <w:iCs w:val="0"/>
          <w:sz w:val="24"/>
          <w:szCs w:val="24"/>
          <w:shd w:val="clear" w:fill="FFFFFF"/>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依托“政府网站”等平台发布信息，推动政务公开信息向不同群体精准推送，提升群众获取政府信息的便利度和幸福感。强化微信公众号运营。规范发布新媒体信息，在“台儿庄科技”微信号上发布</w:t>
      </w:r>
      <w:r>
        <w:rPr>
          <w:rFonts w:hint="eastAsia" w:ascii="宋体" w:hAnsi="宋体" w:eastAsia="宋体" w:cs="宋体"/>
          <w:i w:val="0"/>
          <w:iCs w:val="0"/>
          <w:sz w:val="24"/>
          <w:szCs w:val="24"/>
          <w:shd w:val="clear" w:fill="FFFFFF"/>
        </w:rPr>
        <w:t>37</w:t>
      </w:r>
      <w:r>
        <w:rPr>
          <w:rFonts w:hint="default" w:ascii="Ã¥Â¾Â®Ã¨Â½Â¯Ã©â€ºâ€¦Ã©Â»â€˜" w:hAnsi="Ã¥Â¾Â®Ã¨Â½Â¯Ã©â€ºâ€¦Ã©Â»â€˜" w:eastAsia="Ã¥Â¾Â®Ã¨Â½Â¯Ã©â€ºâ€¦Ã©Â»â€˜" w:cs="Ã¥Â¾Â®Ã¨Â½Â¯Ã©â€ºâ€¦Ã©Â»â€˜"/>
          <w:i w:val="0"/>
          <w:iCs w:val="0"/>
          <w:sz w:val="24"/>
          <w:szCs w:val="24"/>
          <w:shd w:val="clear" w:fill="FFFFFF"/>
        </w:rPr>
        <w:t>条，充分利用政府网站，提高政府信息发布、公共管理、办事服务的响应速度和质量，保障公众更大程度参与政策制定、执行和监督。 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360" w:lineRule="atLeast"/>
        <w:ind w:left="0" w:firstLine="418"/>
        <w:jc w:val="left"/>
        <w:rPr>
          <w:i w:val="0"/>
          <w:i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w:t>
      </w:r>
      <w:r>
        <w:rPr>
          <w:rStyle w:val="5"/>
          <w:rFonts w:hint="default" w:ascii="Ã¥Â¾Â®Ã¨Â½Â¯Ã©â€ºâ€¦Ã©Â»â€˜" w:hAnsi="Ã¥Â¾Â®Ã¨Â½Â¯Ã©â€ºâ€¦Ã©Â»â€˜" w:eastAsia="Ã¥Â¾Â®Ã¨Â½Â¯Ã©â€ºâ€¦Ã©Â»â€˜" w:cs="Ã¥Â¾Â®Ã¨Â½Â¯Ã©â€ºâ€¦Ã©Â»â€˜"/>
          <w:i w:val="0"/>
          <w:iCs w:val="0"/>
          <w:sz w:val="24"/>
          <w:szCs w:val="24"/>
          <w:shd w:val="clear" w:fill="FFFFFF"/>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明确专人负责政务公开工作。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29" w:lineRule="atLeast"/>
        <w:ind w:left="0" w:firstLine="418"/>
        <w:jc w:val="left"/>
        <w:rPr>
          <w:i w:val="0"/>
          <w:i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29" w:lineRule="atLeast"/>
        <w:ind w:left="0" w:firstLine="418"/>
        <w:jc w:val="left"/>
        <w:rPr>
          <w:i w:val="0"/>
          <w:i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29" w:lineRule="atLeast"/>
        <w:ind w:left="0" w:firstLine="418"/>
        <w:jc w:val="left"/>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29" w:lineRule="atLeast"/>
        <w:ind w:left="0" w:firstLine="418"/>
        <w:jc w:val="left"/>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29" w:lineRule="atLeast"/>
        <w:ind w:left="0" w:firstLine="418"/>
        <w:jc w:val="left"/>
      </w:pP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二、主动公开政府信息情况</w:t>
      </w:r>
    </w:p>
    <w:tbl>
      <w:tblPr>
        <w:tblStyle w:val="3"/>
        <w:tblW w:w="883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2039"/>
        <w:gridCol w:w="2054"/>
        <w:gridCol w:w="2054"/>
        <w:gridCol w:w="268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ascii="黑体" w:hAnsi="宋体" w:eastAsia="黑体" w:cs="黑体"/>
                <w:color w:val="00000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ascii="仿宋_GB2312" w:eastAsia="仿宋_GB2312" w:cs="仿宋_GB2312"/>
                <w:color w:val="000000"/>
                <w:sz w:val="19"/>
                <w:szCs w:val="19"/>
              </w:rPr>
              <w:t>信息内容</w:t>
            </w:r>
          </w:p>
        </w:tc>
        <w:tc>
          <w:tcPr>
            <w:tcW w:w="1995"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本年制发件数</w:t>
            </w:r>
          </w:p>
        </w:tc>
        <w:tc>
          <w:tcPr>
            <w:tcW w:w="1995"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本年废止件数</w:t>
            </w:r>
          </w:p>
        </w:tc>
        <w:tc>
          <w:tcPr>
            <w:tcW w:w="1980"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规章</w:t>
            </w:r>
          </w:p>
        </w:tc>
        <w:tc>
          <w:tcPr>
            <w:tcW w:w="1995"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c>
          <w:tcPr>
            <w:tcW w:w="1995"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color w:val="000000"/>
                <w:sz w:val="19"/>
                <w:szCs w:val="19"/>
              </w:rPr>
              <w:t> </w:t>
            </w: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c>
          <w:tcPr>
            <w:tcW w:w="1980"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行政规范性文件</w:t>
            </w:r>
          </w:p>
        </w:tc>
        <w:tc>
          <w:tcPr>
            <w:tcW w:w="1995"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c>
          <w:tcPr>
            <w:tcW w:w="1995"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color w:val="000000"/>
                <w:sz w:val="19"/>
                <w:szCs w:val="19"/>
              </w:rPr>
              <w:t> </w:t>
            </w: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c>
          <w:tcPr>
            <w:tcW w:w="1980" w:type="dxa"/>
            <w:tcBorders>
              <w:top w:val="nil"/>
              <w:left w:val="nil"/>
              <w:bottom w:val="single" w:color="00000A" w:sz="8" w:space="0"/>
              <w:right w:val="single" w:color="00000A"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color w:val="00000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行政许可</w:t>
            </w:r>
          </w:p>
        </w:tc>
        <w:tc>
          <w:tcPr>
            <w:tcW w:w="6390" w:type="dxa"/>
            <w:gridSpan w:val="3"/>
            <w:tcBorders>
              <w:top w:val="single" w:color="00000A" w:sz="8" w:space="0"/>
              <w:left w:val="nil"/>
              <w:bottom w:val="single" w:color="00000A" w:sz="8" w:space="0"/>
              <w:right w:val="single" w:color="000001"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color w:val="00000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行政处罚</w:t>
            </w:r>
          </w:p>
        </w:tc>
        <w:tc>
          <w:tcPr>
            <w:tcW w:w="6390" w:type="dxa"/>
            <w:gridSpan w:val="3"/>
            <w:tcBorders>
              <w:top w:val="single" w:color="00000A" w:sz="8" w:space="0"/>
              <w:left w:val="nil"/>
              <w:bottom w:val="single" w:color="00000A" w:sz="8" w:space="0"/>
              <w:right w:val="single" w:color="000001"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行政强制</w:t>
            </w:r>
          </w:p>
        </w:tc>
        <w:tc>
          <w:tcPr>
            <w:tcW w:w="6390" w:type="dxa"/>
            <w:gridSpan w:val="3"/>
            <w:tcBorders>
              <w:top w:val="single" w:color="00000A" w:sz="8" w:space="0"/>
              <w:left w:val="nil"/>
              <w:bottom w:val="single" w:color="00000A" w:sz="8" w:space="0"/>
              <w:right w:val="single" w:color="000001"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60" w:hRule="atLeast"/>
        </w:trPr>
        <w:tc>
          <w:tcPr>
            <w:tcW w:w="8580" w:type="dxa"/>
            <w:gridSpan w:val="4"/>
            <w:tcBorders>
              <w:top w:val="single" w:color="00000A" w:sz="8" w:space="0"/>
              <w:left w:val="single" w:color="00000A" w:sz="8" w:space="0"/>
              <w:bottom w:val="single" w:color="00000A" w:sz="8" w:space="0"/>
              <w:right w:val="single" w:color="000001" w:sz="8" w:space="0"/>
            </w:tcBorders>
            <w:shd w:val="clear" w:color="auto" w:fill="C6D9F1"/>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color w:val="00000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信息内容</w:t>
            </w:r>
          </w:p>
        </w:tc>
        <w:tc>
          <w:tcPr>
            <w:tcW w:w="6390" w:type="dxa"/>
            <w:gridSpan w:val="3"/>
            <w:tcBorders>
              <w:top w:val="single" w:color="00000A" w:sz="8" w:space="0"/>
              <w:left w:val="nil"/>
              <w:bottom w:val="single" w:color="00000A" w:sz="8" w:space="0"/>
              <w:right w:val="single" w:color="000001"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color w:val="00000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trPr>
        <w:tc>
          <w:tcPr>
            <w:tcW w:w="1980" w:type="dxa"/>
            <w:tcBorders>
              <w:top w:val="nil"/>
              <w:left w:val="single" w:color="00000A" w:sz="8" w:space="0"/>
              <w:bottom w:val="single" w:color="00000A" w:sz="8" w:space="0"/>
              <w:right w:val="single" w:color="00000A" w:sz="8" w:space="0"/>
            </w:tcBorders>
            <w:shd w:val="clear" w:color="auto" w:fill="FFFFFF"/>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行政事业性收费</w:t>
            </w:r>
          </w:p>
        </w:tc>
        <w:tc>
          <w:tcPr>
            <w:tcW w:w="6390" w:type="dxa"/>
            <w:gridSpan w:val="3"/>
            <w:tcBorders>
              <w:top w:val="single" w:color="00000A" w:sz="8" w:space="0"/>
              <w:left w:val="nil"/>
              <w:bottom w:val="single" w:color="00000A" w:sz="8" w:space="0"/>
              <w:right w:val="single" w:color="000001" w:sz="8" w:space="0"/>
            </w:tcBorders>
            <w:shd w:val="clear" w:color="auto" w:fill="FFFFFF"/>
            <w:tcMar>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eastAsia="仿宋_GB2312" w:cs="仿宋_GB2312"/>
                <w:color w:val="000000"/>
                <w:sz w:val="19"/>
                <w:szCs w:val="19"/>
              </w:rPr>
              <w:t>　</w:t>
            </w:r>
            <w:r>
              <w:rPr>
                <w:rFonts w:hint="eastAsia" w:ascii="仿宋_GB2312" w:hAnsi="Calibri" w:eastAsia="仿宋_GB2312" w:cs="仿宋_GB2312"/>
                <w:color w:val="000000"/>
                <w:sz w:val="19"/>
                <w:szCs w:val="19"/>
              </w:rPr>
              <w:t>0</w:t>
            </w:r>
          </w:p>
        </w:tc>
      </w:tr>
    </w:tbl>
    <w:p>
      <w:pPr>
        <w:pStyle w:val="2"/>
        <w:keepNext w:val="0"/>
        <w:keepLines w:val="0"/>
        <w:widowControl/>
        <w:suppressLineNumbers w:val="0"/>
        <w:spacing w:before="0" w:beforeAutospacing="1" w:after="0" w:afterAutospacing="0" w:line="195" w:lineRule="atLeast"/>
        <w:ind w:left="0" w:right="0"/>
        <w:rPr>
          <w:sz w:val="19"/>
          <w:szCs w:val="19"/>
        </w:rPr>
      </w:pPr>
    </w:p>
    <w:p>
      <w:pPr>
        <w:pStyle w:val="2"/>
        <w:keepNext w:val="0"/>
        <w:keepLines w:val="0"/>
        <w:widowControl/>
        <w:suppressLineNumbers w:val="0"/>
        <w:spacing w:line="555" w:lineRule="atLeast"/>
        <w:ind w:left="0" w:right="0" w:firstLine="0"/>
        <w:jc w:val="both"/>
      </w:pPr>
      <w:r>
        <w:rPr>
          <w:rStyle w:val="5"/>
          <w:rFonts w:hint="default" w:ascii="Ã¥Â¾Â®Ã¨Â½Â¯Ã©â€ºâ€¦Ã©Â»â€˜" w:hAnsi="Ã¥Â¾Â®Ã¨Â½Â¯Ã©â€ºâ€¦Ã©Â»â€˜" w:eastAsia="Ã¥Â¾Â®Ã¨Â½Â¯Ã©â€ºâ€¦Ã©Â»â€˜" w:cs="Ã¥Â¾Â®Ã¨Â½Â¯Ã©â€ºâ€¦Ã©Â»â€˜"/>
          <w:sz w:val="24"/>
          <w:szCs w:val="24"/>
          <w:shd w:val="clear" w:fill="FFFFFF"/>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630"/>
        <w:gridCol w:w="1468"/>
        <w:gridCol w:w="2359"/>
        <w:gridCol w:w="717"/>
        <w:gridCol w:w="476"/>
        <w:gridCol w:w="476"/>
        <w:gridCol w:w="597"/>
        <w:gridCol w:w="575"/>
        <w:gridCol w:w="478"/>
        <w:gridCol w:w="7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20" w:hRule="atLeast"/>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楷体_GB2312" w:eastAsia="楷体_GB2312" w:cs="楷体_GB2312"/>
                <w:sz w:val="21"/>
                <w:szCs w:val="21"/>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楷体_GB2312" w:eastAsia="楷体_GB2312" w:cs="楷体_GB2312"/>
                <w:sz w:val="21"/>
                <w:szCs w:val="21"/>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20"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15" w:hRule="atLeast"/>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05"/>
              <w:jc w:val="center"/>
            </w:pPr>
            <w:r>
              <w:rPr>
                <w:rFonts w:hint="eastAsia" w:ascii="黑体" w:hAnsi="宋体" w:eastAsia="黑体" w:cs="黑体"/>
                <w:sz w:val="21"/>
                <w:szCs w:val="21"/>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60" w:right="-135"/>
              <w:jc w:val="center"/>
            </w:pPr>
            <w:r>
              <w:rPr>
                <w:rFonts w:hint="eastAsia" w:ascii="黑体" w:hAnsi="宋体" w:eastAsia="黑体" w:cs="黑体"/>
                <w:sz w:val="21"/>
                <w:szCs w:val="21"/>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一、</w:t>
            </w:r>
            <w:bookmarkStart w:id="0" w:name="_Hlk66973412"/>
            <w:r>
              <w:rPr>
                <w:rFonts w:hint="eastAsia" w:ascii="黑体" w:hAnsi="宋体" w:eastAsia="黑体" w:cs="黑体"/>
                <w:sz w:val="21"/>
                <w:szCs w:val="21"/>
              </w:rPr>
              <w:t>本年新收政府信息公开申请数量</w:t>
            </w:r>
            <w:bookmarkEnd w:id="0"/>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15" w:hRule="atLeast"/>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pPr>
            <w:r>
              <w:rPr>
                <w:rFonts w:hint="eastAsia" w:ascii="黑体" w:hAnsi="宋体" w:eastAsia="黑体" w:cs="黑体"/>
                <w:sz w:val="21"/>
                <w:szCs w:val="21"/>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黑体" w:hAnsi="宋体" w:eastAsia="黑体" w:cs="黑体"/>
                <w:sz w:val="21"/>
                <w:szCs w:val="21"/>
              </w:rPr>
              <w:t>（二）部分公开（</w:t>
            </w:r>
            <w:bookmarkStart w:id="1" w:name="_Hlk66973981"/>
            <w:r>
              <w:rPr>
                <w:rFonts w:hint="eastAsia" w:ascii="黑体" w:hAnsi="宋体" w:eastAsia="黑体" w:cs="黑体"/>
                <w:sz w:val="21"/>
                <w:szCs w:val="21"/>
              </w:rPr>
              <w:t>区分处理的，只计这一情形，不计其他情形</w:t>
            </w:r>
            <w:bookmarkEnd w:id="1"/>
            <w:r>
              <w:rPr>
                <w:rFonts w:hint="eastAsia" w:ascii="黑体" w:hAnsi="宋体" w:eastAsia="黑体" w:cs="黑体"/>
                <w:sz w:val="21"/>
                <w:szCs w:val="21"/>
              </w:rPr>
              <w:t>）</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2" w:name="_Hlk66974104"/>
            <w:r>
              <w:rPr>
                <w:rFonts w:hint="eastAsia" w:ascii="仿宋_GB2312" w:eastAsia="仿宋_GB2312" w:cs="仿宋_GB2312"/>
                <w:sz w:val="21"/>
                <w:szCs w:val="21"/>
              </w:rPr>
              <w:t>其他法律行政法规禁止公开</w:t>
            </w:r>
            <w:bookmarkEnd w:id="2"/>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w:t>
            </w:r>
            <w:bookmarkStart w:id="3" w:name="_Hlk66974290"/>
            <w:r>
              <w:rPr>
                <w:rFonts w:hint="eastAsia" w:ascii="仿宋_GB2312" w:eastAsia="仿宋_GB2312" w:cs="仿宋_GB2312"/>
                <w:sz w:val="21"/>
                <w:szCs w:val="21"/>
              </w:rPr>
              <w:t>保护第三方合法权益</w:t>
            </w:r>
            <w:bookmarkEnd w:id="3"/>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6.</w:t>
            </w:r>
            <w:bookmarkStart w:id="4" w:name="_Hlk66974555"/>
            <w:r>
              <w:rPr>
                <w:rFonts w:hint="eastAsia" w:ascii="仿宋_GB2312" w:eastAsia="仿宋_GB2312" w:cs="仿宋_GB2312"/>
                <w:sz w:val="21"/>
                <w:szCs w:val="21"/>
              </w:rPr>
              <w:t>属于四类过程性信息</w:t>
            </w:r>
            <w:bookmarkEnd w:id="4"/>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8.</w:t>
            </w:r>
            <w:bookmarkStart w:id="5" w:name="_Hlk66975211"/>
            <w:r>
              <w:rPr>
                <w:rFonts w:hint="eastAsia" w:ascii="仿宋_GB2312" w:eastAsia="仿宋_GB2312" w:cs="仿宋_GB2312"/>
                <w:sz w:val="21"/>
                <w:szCs w:val="21"/>
              </w:rPr>
              <w:t>属于行政查询事项</w:t>
            </w:r>
            <w:bookmarkEnd w:id="5"/>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w:t>
            </w:r>
            <w:bookmarkStart w:id="6" w:name="_Hlk66975392"/>
            <w:r>
              <w:rPr>
                <w:rFonts w:hint="eastAsia" w:ascii="仿宋_GB2312" w:eastAsia="仿宋_GB2312" w:cs="仿宋_GB2312"/>
                <w:sz w:val="21"/>
                <w:szCs w:val="21"/>
              </w:rPr>
              <w:t>没有现成信息需要另行制作</w:t>
            </w:r>
            <w:bookmarkEnd w:id="6"/>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w:t>
            </w:r>
            <w:bookmarkStart w:id="7" w:name="_Hlk66975466"/>
            <w:r>
              <w:rPr>
                <w:rFonts w:hint="eastAsia" w:ascii="仿宋_GB2312" w:eastAsia="仿宋_GB2312" w:cs="仿宋_GB2312"/>
                <w:sz w:val="21"/>
                <w:szCs w:val="21"/>
              </w:rPr>
              <w:t>补正后申请内容仍不明确</w:t>
            </w:r>
            <w:bookmarkEnd w:id="7"/>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105" w:right="0"/>
            </w:pPr>
            <w:r>
              <w:rPr>
                <w:rFonts w:hint="eastAsia" w:ascii="黑体" w:hAnsi="宋体" w:eastAsia="黑体" w:cs="黑体"/>
                <w:sz w:val="21"/>
                <w:szCs w:val="21"/>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1.</w:t>
            </w:r>
            <w:bookmarkStart w:id="8" w:name="_Hlk66975537"/>
            <w:r>
              <w:rPr>
                <w:rFonts w:hint="eastAsia" w:ascii="仿宋_GB2312" w:eastAsia="仿宋_GB2312" w:cs="仿宋_GB2312"/>
                <w:sz w:val="21"/>
                <w:szCs w:val="21"/>
              </w:rPr>
              <w:t>信访举报投诉类申请</w:t>
            </w:r>
            <w:bookmarkEnd w:id="8"/>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5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90" w:hRule="atLeast"/>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5" w:lineRule="atLeast"/>
              <w:ind w:left="0" w:right="0"/>
            </w:pPr>
            <w:r>
              <w:rPr>
                <w:rFonts w:hint="eastAsia" w:ascii="仿宋_GB2312" w:eastAsia="仿宋_GB2312" w:cs="仿宋_GB2312"/>
                <w:sz w:val="21"/>
                <w:szCs w:val="21"/>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10"/>
            </w:pPr>
            <w:r>
              <w:rPr>
                <w:rFonts w:hint="eastAsia" w:ascii="仿宋_GB2312" w:eastAsia="仿宋_GB2312" w:cs="仿宋_GB2312"/>
                <w:sz w:val="21"/>
                <w:szCs w:val="21"/>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仿宋_GB2312" w:eastAsia="仿宋_GB2312" w:cs="仿宋_GB2312"/>
                <w:sz w:val="21"/>
                <w:szCs w:val="21"/>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pPr>
            <w:r>
              <w:rPr>
                <w:rFonts w:hint="eastAsia" w:ascii="黑体" w:hAnsi="宋体" w:eastAsia="黑体" w:cs="黑体"/>
                <w:sz w:val="21"/>
                <w:szCs w:val="21"/>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eastAsia" w:ascii="仿宋_GB2312" w:eastAsia="仿宋_GB2312" w:cs="仿宋_GB2312"/>
                <w:sz w:val="21"/>
                <w:szCs w:val="21"/>
              </w:rPr>
              <w:t>0</w:t>
            </w:r>
          </w:p>
        </w:tc>
      </w:tr>
    </w:tbl>
    <w:p>
      <w:pPr>
        <w:pStyle w:val="2"/>
        <w:keepNext w:val="0"/>
        <w:keepLines w:val="0"/>
        <w:widowControl/>
        <w:suppressLineNumbers w:val="0"/>
        <w:spacing w:line="315" w:lineRule="atLeast"/>
      </w:pPr>
      <w:r>
        <w:rPr>
          <w:rStyle w:val="5"/>
          <w:rFonts w:hint="default" w:ascii="Ã¥Â¾Â®Ã¨Â½Â¯Ã©â€ºâ€¦Ã©Â»â€˜" w:hAnsi="Ã¥Â¾Â®Ã¨Â½Â¯Ã©â€ºâ€¦Ã©Â»â€˜" w:eastAsia="Ã¥Â¾Â®Ã¨Â½Â¯Ã©â€ºâ€¦Ã©Â»â€˜" w:cs="Ã¥Â¾Â®Ã¨Â½Â¯Ã©â€ºâ€¦Ã©Â»â€˜"/>
          <w:sz w:val="24"/>
          <w:szCs w:val="24"/>
          <w:shd w:val="clear" w:fill="FFFFFF"/>
        </w:rPr>
        <w:t>  </w:t>
      </w:r>
    </w:p>
    <w:p>
      <w:pPr>
        <w:pStyle w:val="2"/>
        <w:keepNext w:val="0"/>
        <w:keepLines w:val="0"/>
        <w:widowControl/>
        <w:suppressLineNumbers w:val="0"/>
        <w:spacing w:line="315" w:lineRule="atLeast"/>
        <w:rPr>
          <w:rStyle w:val="5"/>
          <w:rFonts w:hint="default" w:ascii="Ã¥Â¾Â®Ã¨Â½Â¯Ã©â€ºâ€¦Ã©Â»â€˜" w:hAnsi="Ã¥Â¾Â®Ã¨Â½Â¯Ã©â€ºâ€¦Ã©Â»â€˜" w:eastAsia="Ã¥Â¾Â®Ã¨Â½Â¯Ã©â€ºâ€¦Ã©Â»â€˜" w:cs="Ã¥Â¾Â®Ã¨Â½Â¯Ã©â€ºâ€¦Ã©Â»â€˜"/>
          <w:sz w:val="24"/>
          <w:szCs w:val="24"/>
          <w:shd w:val="clear" w:fill="FFFFFF"/>
        </w:rPr>
      </w:pPr>
      <w:r>
        <w:rPr>
          <w:rStyle w:val="5"/>
          <w:rFonts w:hint="default" w:ascii="Ã¥Â¾Â®Ã¨Â½Â¯Ã©â€ºâ€¦Ã©Â»â€˜" w:hAnsi="Ã¥Â¾Â®Ã¨Â½Â¯Ã©â€ºâ€¦Ã©Â»â€˜" w:eastAsia="Ã¥Â¾Â®Ã¨Â½Â¯Ã©â€ºâ€¦Ã©Â»â€˜" w:cs="Ã¥Â¾Â®Ã¨Â½Â¯Ã©â€ºâ€¦Ã©Â»â€˜"/>
          <w:sz w:val="24"/>
          <w:szCs w:val="24"/>
          <w:shd w:val="clear" w:fill="FFFFFF"/>
        </w:rPr>
        <w:t>    </w:t>
      </w:r>
    </w:p>
    <w:p>
      <w:pPr>
        <w:pStyle w:val="2"/>
        <w:keepNext w:val="0"/>
        <w:keepLines w:val="0"/>
        <w:widowControl/>
        <w:suppressLineNumbers w:val="0"/>
        <w:spacing w:line="315" w:lineRule="atLeast"/>
        <w:rPr>
          <w:rStyle w:val="5"/>
          <w:rFonts w:hint="default" w:ascii="Ã¥Â¾Â®Ã¨Â½Â¯Ã©â€ºâ€¦Ã©Â»â€˜" w:hAnsi="Ã¥Â¾Â®Ã¨Â½Â¯Ã©â€ºâ€¦Ã©Â»â€˜" w:eastAsia="Ã¥Â¾Â®Ã¨Â½Â¯Ã©â€ºâ€¦Ã©Â»â€˜" w:cs="Ã¥Â¾Â®Ã¨Â½Â¯Ã©â€ºâ€¦Ã©Â»â€˜"/>
          <w:sz w:val="24"/>
          <w:szCs w:val="24"/>
          <w:shd w:val="clear" w:fill="FFFFFF"/>
        </w:rPr>
      </w:pPr>
    </w:p>
    <w:p>
      <w:pPr>
        <w:pStyle w:val="2"/>
        <w:keepNext w:val="0"/>
        <w:keepLines w:val="0"/>
        <w:widowControl/>
        <w:suppressLineNumbers w:val="0"/>
        <w:spacing w:line="315" w:lineRule="atLeast"/>
        <w:rPr>
          <w:rStyle w:val="5"/>
          <w:rFonts w:hint="default" w:ascii="Ã¥Â¾Â®Ã¨Â½Â¯Ã©â€ºâ€¦Ã©Â»â€˜" w:hAnsi="Ã¥Â¾Â®Ã¨Â½Â¯Ã©â€ºâ€¦Ã©Â»â€˜" w:eastAsia="Ã¥Â¾Â®Ã¨Â½Â¯Ã©â€ºâ€¦Ã©Â»â€˜" w:cs="Ã¥Â¾Â®Ã¨Â½Â¯Ã©â€ºâ€¦Ã©Â»â€˜"/>
          <w:sz w:val="24"/>
          <w:szCs w:val="24"/>
          <w:shd w:val="clear" w:fill="FFFFFF"/>
        </w:rPr>
      </w:pPr>
    </w:p>
    <w:p>
      <w:pPr>
        <w:pStyle w:val="2"/>
        <w:keepNext w:val="0"/>
        <w:keepLines w:val="0"/>
        <w:widowControl/>
        <w:suppressLineNumbers w:val="0"/>
        <w:spacing w:line="315" w:lineRule="atLeast"/>
      </w:pPr>
      <w:r>
        <w:rPr>
          <w:rStyle w:val="5"/>
          <w:rFonts w:hint="default" w:ascii="Ã¥Â¾Â®Ã¨Â½Â¯Ã©â€ºâ€¦Ã©Â»â€˜" w:hAnsi="Ã¥Â¾Â®Ã¨Â½Â¯Ã©â€ºâ€¦Ã©Â»â€˜" w:eastAsia="Ã¥Â¾Â®Ã¨Â½Â¯Ã©â€ºâ€¦Ã©Â»â€˜" w:cs="Ã¥Â¾Â®Ã¨Â½Â¯Ã©â€ºâ€¦Ã©Â»â€˜"/>
          <w:sz w:val="24"/>
          <w:szCs w:val="24"/>
          <w:shd w:val="clear" w:fill="FFFFFF"/>
        </w:rPr>
        <w:t>四、因政府信息公开工作被申请行政复议、提起行政诉讼情况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59"/>
        <w:gridCol w:w="559"/>
        <w:gridCol w:w="561"/>
        <w:gridCol w:w="559"/>
        <w:gridCol w:w="646"/>
        <w:gridCol w:w="519"/>
        <w:gridCol w:w="559"/>
        <w:gridCol w:w="559"/>
        <w:gridCol w:w="559"/>
        <w:gridCol w:w="592"/>
        <w:gridCol w:w="559"/>
        <w:gridCol w:w="559"/>
        <w:gridCol w:w="559"/>
        <w:gridCol w:w="561"/>
        <w:gridCol w:w="6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540" w:hRule="atLeast"/>
          <w:jc w:val="center"/>
        </w:trPr>
        <w:tc>
          <w:tcPr>
            <w:tcW w:w="600"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pacing w:val="0"/>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pacing w:val="0"/>
                <w:sz w:val="19"/>
                <w:szCs w:val="19"/>
              </w:rPr>
              <w:t>维持</w:t>
            </w: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eastAsia" w:ascii="黑体" w:hAnsi="宋体" w:eastAsia="黑体" w:cs="黑体"/>
                <w:spacing w:val="0"/>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eastAsia" w:ascii="黑体" w:hAnsi="宋体" w:eastAsia="黑体" w:cs="黑体"/>
                <w:spacing w:val="0"/>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pacing w:val="0"/>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pacing w:val="0"/>
                <w:sz w:val="19"/>
                <w:szCs w:val="19"/>
              </w:rPr>
              <w:t>审结</w:t>
            </w:r>
          </w:p>
        </w:tc>
        <w:tc>
          <w:tcPr>
            <w:tcW w:w="66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9" w:name="_Hlk67039688"/>
            <w:r>
              <w:rPr>
                <w:rFonts w:hint="eastAsia" w:ascii="黑体" w:hAnsi="宋体" w:eastAsia="黑体" w:cs="黑体"/>
                <w:spacing w:val="0"/>
                <w:sz w:val="19"/>
                <w:szCs w:val="19"/>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900" w:hRule="atLeast"/>
          <w:jc w:val="center"/>
        </w:trPr>
        <w:tc>
          <w:tcPr>
            <w:tcW w:w="600"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6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55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eastAsia" w:ascii="黑体" w:hAnsi="宋体" w:eastAsia="黑体" w:cs="黑体"/>
                <w:spacing w:val="0"/>
                <w:sz w:val="19"/>
                <w:szCs w:val="19"/>
              </w:rPr>
              <w:t>结果维持</w:t>
            </w: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eastAsia" w:ascii="黑体" w:hAnsi="宋体" w:eastAsia="黑体" w:cs="黑体"/>
                <w:spacing w:val="0"/>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pacing w:val="0"/>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pacing w:val="0"/>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pacing w:val="0"/>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pacing w:val="0"/>
                <w:sz w:val="19"/>
                <w:szCs w:val="19"/>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eastAsia" w:ascii="黑体" w:hAnsi="宋体" w:eastAsia="黑体" w:cs="黑体"/>
                <w:spacing w:val="0"/>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pacing w:val="0"/>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pacing w:val="0"/>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pacing w:val="0"/>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pacing w:val="0"/>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eastAsia" w:ascii="黑体" w:hAnsi="宋体" w:eastAsia="黑体" w:cs="黑体"/>
                <w:spacing w:val="0"/>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6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cs="Times New Roman"/>
                <w:spacing w:val="0"/>
                <w:sz w:val="21"/>
                <w:szCs w:val="21"/>
              </w:rPr>
              <w:t>0</w:t>
            </w:r>
          </w:p>
        </w:tc>
        <w:tc>
          <w:tcPr>
            <w:tcW w:w="55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cs="Times New Roman"/>
                <w:spacing w:val="0"/>
                <w:sz w:val="21"/>
                <w:szCs w:val="21"/>
              </w:rPr>
              <w:t>0</w:t>
            </w: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00"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cs="Times New Roman"/>
                <w:spacing w:val="0"/>
                <w:sz w:val="21"/>
                <w:szCs w:val="21"/>
              </w:rPr>
              <w:t>0</w:t>
            </w:r>
          </w:p>
        </w:tc>
      </w:tr>
    </w:tbl>
    <w:p>
      <w:pPr>
        <w:pStyle w:val="2"/>
        <w:keepNext w:val="0"/>
        <w:keepLines w:val="0"/>
        <w:widowControl/>
        <w:suppressLineNumbers w:val="0"/>
        <w:spacing w:before="274" w:beforeAutospacing="0" w:after="274" w:afterAutospacing="0" w:line="240" w:lineRule="atLeast"/>
        <w:ind w:left="0" w:firstLine="418"/>
        <w:jc w:val="left"/>
      </w:pP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75"/>
        <w:jc w:val="left"/>
      </w:pP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w:t>
      </w:r>
      <w:r>
        <w:rPr>
          <w:rStyle w:val="5"/>
          <w:rFonts w:hint="default" w:ascii="Ã¥Â¾Â®Ã¨Â½Â¯Ã©â€ºâ€¦Ã©Â»â€˜" w:hAnsi="Ã¥Â¾Â®Ã¨Â½Â¯Ã©â€ºâ€¦Ã©Â»â€˜" w:eastAsia="Ã¥Â¾Â®Ã¨Â½Â¯Ã©â€ºâ€¦Ã©Â»â€˜" w:cs="Ã¥Â¾Â®Ã¨Â½Â¯Ã©â€ºâ€¦Ã©Â»â€˜"/>
          <w:i w:val="0"/>
          <w:iCs w:val="0"/>
          <w:sz w:val="24"/>
          <w:szCs w:val="24"/>
          <w:shd w:val="clear" w:fill="FFFFFF"/>
        </w:rPr>
        <w:t>一)存在的主要问题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Fonts w:hint="eastAsia" w:ascii="宋体" w:hAnsi="宋体" w:eastAsia="宋体" w:cs="宋体"/>
          <w:i w:val="0"/>
          <w:iCs w:val="0"/>
          <w:color w:val="000000"/>
          <w:spacing w:val="0"/>
          <w:sz w:val="24"/>
          <w:szCs w:val="24"/>
          <w:shd w:val="clear" w:fill="FFFFFF"/>
        </w:rPr>
        <w:t>2022</w:t>
      </w:r>
      <w:r>
        <w:rPr>
          <w:rFonts w:hint="default" w:ascii="Ã¥Â¾Â®Ã¨Â½Â¯Ã©â€ºâ€¦Ã©Â»â€˜" w:hAnsi="Ã¥Â¾Â®Ã¨Â½Â¯Ã©â€ºâ€¦Ã©Â»â€˜" w:eastAsia="Ã¥Â¾Â®Ã¨Â½Â¯Ã©â€ºâ€¦Ã©Â»â€˜" w:cs="Ã¥Â¾Â®Ã¨Â½Â¯Ã©â€ºâ€¦Ã©Â»â€˜"/>
          <w:i w:val="0"/>
          <w:iCs w:val="0"/>
          <w:sz w:val="24"/>
          <w:szCs w:val="24"/>
          <w:shd w:val="clear" w:fill="FFFFFF"/>
        </w:rPr>
        <w:t>年度我局政务公开各项工作扎实有序，取得一些成效，但仍存在一些薄弱环节和问题:不足之处:一是主动公开的意识还不够强，文件填写不规范。二是未能及时公开相关信息。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pPr>
      <w:r>
        <w:rPr>
          <w:rFonts w:hint="default" w:ascii="Ã¥Â¾Â®Ã¨Â½Â¯Ã©â€ºâ€¦Ã©Â»â€˜" w:hAnsi="Ã¥Â¾Â®Ã¨Â½Â¯Ã©â€ºâ€¦Ã©Â»â€˜" w:eastAsia="Ã¥Â¾Â®Ã¨Â½Â¯Ã©â€ºâ€¦Ã©Â»â€˜" w:cs="Ã¥Â¾Â®Ã¨Â½Â¯Ã©â€ºâ€¦Ã©Â»â€˜"/>
          <w:sz w:val="24"/>
          <w:szCs w:val="24"/>
          <w:shd w:val="clear" w:fill="FFFFFF"/>
        </w:rPr>
        <w:t>（二）</w:t>
      </w:r>
      <w:r>
        <w:rPr>
          <w:rStyle w:val="5"/>
          <w:rFonts w:hint="default" w:ascii="Ã¥Â¾Â®Ã¨Â½Â¯Ã©â€ºâ€¦Ã©Â»â€˜" w:hAnsi="Ã¥Â¾Â®Ã¨Â½Â¯Ã©â€ºâ€¦Ã©Â»â€˜" w:eastAsia="Ã¥Â¾Â®Ã¨Â½Â¯Ã©â€ºâ€¦Ã©Â»â€˜" w:cs="Ã¥Â¾Â®Ã¨Â½Â¯Ã©â€ºâ€¦Ã©Â»â€˜"/>
          <w:sz w:val="24"/>
          <w:szCs w:val="24"/>
          <w:shd w:val="clear" w:fill="FFFFFF"/>
        </w:rPr>
        <w:t>改进情况及下一步工作打算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30" w:afterAutospacing="0" w:line="360" w:lineRule="auto"/>
        <w:ind w:left="0" w:firstLine="420"/>
        <w:jc w:val="left"/>
        <w:textAlignment w:val="auto"/>
      </w:pPr>
      <w:r>
        <w:rPr>
          <w:rFonts w:hint="eastAsia" w:ascii="宋体" w:hAnsi="宋体" w:eastAsia="宋体" w:cs="宋体"/>
          <w:i w:val="0"/>
          <w:iCs w:val="0"/>
          <w:color w:val="000000"/>
          <w:spacing w:val="0"/>
          <w:sz w:val="24"/>
          <w:szCs w:val="24"/>
          <w:shd w:val="clear" w:fill="FFFFFF"/>
        </w:rPr>
        <w:t>2022</w:t>
      </w:r>
      <w:r>
        <w:rPr>
          <w:rFonts w:hint="default" w:ascii="Ã¥Â¾Â®Ã¨Â½Â¯Ã©â€ºâ€¦Ã©Â»â€˜" w:hAnsi="Ã¥Â¾Â®Ã¨Â½Â¯Ã©â€ºâ€¦Ã©Â»â€˜" w:eastAsia="Ã¥Â¾Â®Ã¨Â½Â¯Ã©â€ºâ€¦Ã©Â»â€˜" w:cs="Ã¥Â¾Â®Ã¨Â½Â¯Ã©â€ºâ€¦Ã©Â»â€˜"/>
          <w:i w:val="0"/>
          <w:iCs w:val="0"/>
          <w:sz w:val="24"/>
          <w:szCs w:val="24"/>
          <w:shd w:val="clear" w:fill="FFFFFF"/>
        </w:rPr>
        <w:t>年在区政府信息公开工作有关部门及领导指导帮助下，在本局信息公开工作人员的努力下，政府信息公开工作取得了一定的成绩</w:t>
      </w:r>
      <w:r>
        <w:rPr>
          <w:rFonts w:hint="eastAsia" w:ascii="宋体" w:hAnsi="宋体" w:eastAsia="宋体" w:cs="宋体"/>
          <w:i w:val="0"/>
          <w:iCs w:val="0"/>
          <w:sz w:val="24"/>
          <w:szCs w:val="24"/>
          <w:shd w:val="clear" w:fill="FFFFFF"/>
        </w:rPr>
        <w:t>2022</w:t>
      </w:r>
      <w:r>
        <w:rPr>
          <w:rFonts w:hint="default" w:ascii="Ã¥Â¾Â®Ã¨Â½Â¯Ã©â€ºâ€¦Ã©Â»â€˜" w:hAnsi="Ã¥Â¾Â®Ã¨Â½Â¯Ã©â€ºâ€¦Ã©Â»â€˜" w:eastAsia="Ã¥Â¾Â®Ã¨Â½Â¯Ã©â€ºâ€¦Ã©Â»â€˜" w:cs="Ã¥Â¾Â®Ã¨Â½Â¯Ã©â€ºâ€¦Ã©Â»â€˜"/>
          <w:i w:val="0"/>
          <w:iCs w:val="0"/>
          <w:sz w:val="24"/>
          <w:szCs w:val="24"/>
          <w:shd w:val="clear" w:fill="FFFFFF"/>
        </w:rPr>
        <w:t>年本局将在以下几方面作进一步的加强和改进，使我局的政府信息公开工作质量得到进一步提升：一是加强领导，牢固树立相关部门和工作人员的法治意识和服务意识，完善工作机制，确保信息公开的制度化；二是优化审批办事服务。开展信息自纠自查，重点检查公开的办事服务信息是否准确规范、与实际工作是否一致、是</w:t>
      </w:r>
      <w:bookmarkStart w:id="10" w:name="_GoBack"/>
      <w:bookmarkEnd w:id="10"/>
      <w:r>
        <w:rPr>
          <w:rFonts w:hint="default" w:ascii="Ã¥Â¾Â®Ã¨Â½Â¯Ã©â€ºâ€¦Ã©Â»â€˜" w:hAnsi="Ã¥Â¾Â®Ã¨Â½Â¯Ã©â€ºâ€¦Ã©Â»â€˜" w:eastAsia="Ã¥Â¾Â®Ã¨Â½Â¯Ã©â€ºâ€¦Ã©Â»â€˜" w:cs="Ã¥Â¾Â®Ã¨Â½Â¯Ã©â€ºâ€¦Ã©Â»â€˜"/>
          <w:i w:val="0"/>
          <w:iCs w:val="0"/>
          <w:sz w:val="24"/>
          <w:szCs w:val="24"/>
          <w:shd w:val="clear" w:fill="FFFFFF"/>
        </w:rPr>
        <w:t>否及时更新等，发现问题应及时督促整改。三是强化监督，以健全的监督机制来完善政府信息公开工作，准确把握信息公开的尺度，确保信息公开的规范化。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360" w:lineRule="atLeast"/>
        <w:jc w:val="left"/>
      </w:pPr>
      <w:r>
        <w:rPr>
          <w:rStyle w:val="5"/>
          <w:rFonts w:hint="default" w:ascii="Ã¥Â¾Â®Ã¨Â½Â¯Ã©â€ºâ€¦Ã©Â»â€˜" w:hAnsi="Ã¥Â¾Â®Ã¨Â½Â¯Ã©â€ºâ€¦Ã©Â»â€˜" w:eastAsia="Ã¥Â¾Â®Ã¨Â½Â¯Ã©â€ºâ€¦Ã©Â»â€˜" w:cs="Ã¥Â¾Â®Ã¨Â½Â¯Ã©â€ºâ€¦Ã©Â»â€˜"/>
          <w:sz w:val="24"/>
          <w:szCs w:val="24"/>
          <w:shd w:val="clear" w:fill="FFFFFF"/>
        </w:rPr>
        <w:t>   </w:t>
      </w:r>
      <w:r>
        <w:rPr>
          <w:rStyle w:val="5"/>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562" w:lineRule="atLeast"/>
        <w:ind w:left="0" w:firstLine="418"/>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spacing w:val="0"/>
          <w:sz w:val="24"/>
          <w:szCs w:val="24"/>
          <w:shd w:val="clear" w:fill="FFFFFF"/>
        </w:rPr>
        <w:t>1.</w:t>
      </w:r>
      <w:r>
        <w:rPr>
          <w:rFonts w:hint="eastAsia" w:asciiTheme="minorEastAsia" w:hAnsiTheme="minorEastAsia" w:eastAsiaTheme="minorEastAsia" w:cstheme="minorEastAsia"/>
          <w:i w:val="0"/>
          <w:iCs w:val="0"/>
          <w:sz w:val="24"/>
          <w:szCs w:val="24"/>
          <w:shd w:val="clear" w:fill="FFFFFF"/>
        </w:rPr>
        <w:t>依据《政府信息公开信息处理费管理办法》，区科技全年没有收取信息公开处理费。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30" w:afterAutospacing="0" w:line="360" w:lineRule="auto"/>
        <w:ind w:left="0" w:firstLine="42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spacing w:val="0"/>
          <w:sz w:val="24"/>
          <w:szCs w:val="24"/>
          <w:shd w:val="clear" w:fill="FFFFFF"/>
        </w:rPr>
        <w:t>2.</w:t>
      </w:r>
      <w:r>
        <w:rPr>
          <w:rFonts w:hint="eastAsia" w:asciiTheme="minorEastAsia" w:hAnsiTheme="minorEastAsia" w:eastAsiaTheme="minorEastAsia" w:cstheme="minorEastAsia"/>
          <w:i w:val="0"/>
          <w:iCs w:val="0"/>
          <w:sz w:val="24"/>
          <w:szCs w:val="24"/>
          <w:shd w:val="clear" w:fill="FFFFFF"/>
        </w:rPr>
        <w:t>区科技局严格按照《台儿庄区人民政府办公室关于印发&lt;2022年台儿庄区政务公开工作要点实施方案&gt;的通知》要求，结合工作实际，对2022年政务公开重点工作任务进行分工，科学制定工作要点，有序推进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spacing w:val="0"/>
          <w:sz w:val="24"/>
          <w:szCs w:val="24"/>
          <w:shd w:val="clear" w:fill="FFFFFF"/>
        </w:rPr>
        <w:t>3.</w:t>
      </w:r>
      <w:r>
        <w:rPr>
          <w:rFonts w:hint="eastAsia" w:asciiTheme="minorEastAsia" w:hAnsiTheme="minorEastAsia" w:eastAsiaTheme="minorEastAsia" w:cstheme="minorEastAsia"/>
          <w:i w:val="0"/>
          <w:iCs w:val="0"/>
          <w:sz w:val="24"/>
          <w:szCs w:val="24"/>
          <w:shd w:val="clear" w:fill="FFFFFF"/>
        </w:rPr>
        <w:t>本报告中所列数据的统计期限为2022年1月1日至2022年12月31日。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spacing w:val="0"/>
          <w:sz w:val="24"/>
          <w:szCs w:val="24"/>
          <w:shd w:val="clear" w:fill="FFFFFF"/>
        </w:rPr>
        <w:t>4.</w:t>
      </w:r>
      <w:r>
        <w:rPr>
          <w:rFonts w:hint="eastAsia" w:asciiTheme="minorEastAsia" w:hAnsiTheme="minorEastAsia" w:eastAsiaTheme="minorEastAsia" w:cstheme="minorEastAsia"/>
          <w:i w:val="0"/>
          <w:iCs w:val="0"/>
          <w:sz w:val="24"/>
          <w:szCs w:val="24"/>
          <w:shd w:val="clear" w:fill="FFFFFF"/>
        </w:rPr>
        <w:t>区科技局本年度没有其他需要报告的事项。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360" w:lineRule="atLeast"/>
        <w:ind w:left="0" w:firstLine="418"/>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i w:val="0"/>
          <w:iCs w:val="0"/>
          <w:color w:val="000000"/>
          <w:spacing w:val="0"/>
          <w:sz w:val="24"/>
          <w:szCs w:val="24"/>
          <w:shd w:val="clear" w:fill="FFFFFF"/>
        </w:rPr>
        <w:t>6.</w:t>
      </w:r>
      <w:r>
        <w:rPr>
          <w:rFonts w:hint="eastAsia" w:asciiTheme="minorEastAsia" w:hAnsiTheme="minorEastAsia" w:eastAsiaTheme="minorEastAsia" w:cstheme="minorEastAsia"/>
          <w:i w:val="0"/>
          <w:iCs w:val="0"/>
          <w:sz w:val="24"/>
          <w:szCs w:val="24"/>
          <w:shd w:val="clear" w:fill="FFFFFF"/>
        </w:rPr>
        <w:t>区科技局无其他有关文件专门要求通过政府信息公开工作年度报告予以报告的事项。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29" w:lineRule="atLeast"/>
        <w:ind w:left="0" w:firstLine="418"/>
        <w:jc w:val="left"/>
        <w:rPr>
          <w:rFonts w:hint="eastAsia" w:asciiTheme="minorEastAsia" w:hAnsiTheme="minorEastAsia" w:eastAsiaTheme="minorEastAsia" w:cstheme="minorEastAsia"/>
          <w:i w:val="0"/>
          <w:i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29" w:lineRule="atLeast"/>
        <w:ind w:left="0" w:firstLine="418"/>
        <w:jc w:val="left"/>
        <w:rPr>
          <w:i w:val="0"/>
          <w:i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29" w:lineRule="atLeast"/>
        <w:ind w:left="0" w:firstLine="418"/>
        <w:jc w:val="left"/>
        <w:rPr>
          <w:i w:val="0"/>
          <w:i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29" w:lineRule="atLeast"/>
        <w:ind w:left="0" w:firstLine="418"/>
        <w:jc w:val="left"/>
        <w:rPr>
          <w:i w:val="0"/>
          <w:iCs w:val="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30" w:afterAutospacing="0" w:line="29" w:lineRule="atLeast"/>
        <w:ind w:left="0" w:firstLine="6005"/>
        <w:jc w:val="left"/>
      </w:pP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240" w:afterAutospacing="0" w:line="29" w:lineRule="atLeast"/>
        <w:ind w:left="0" w:firstLine="6005"/>
        <w:jc w:val="right"/>
      </w:pP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                            </w:t>
      </w:r>
      <w:r>
        <w:rPr>
          <w:rFonts w:hint="eastAsia" w:ascii="Ã¥Â¾Â®Ã¨Â½Â¯Ã©â€ºâ€¦Ã©Â»â€˜" w:hAnsi="Ã¥Â¾Â®Ã¨Â½Â¯Ã©â€ºâ€¦Ã©Â»â€˜" w:eastAsia="宋体" w:cs="Ã¥Â¾Â®Ã¨Â½Â¯Ã©â€ºâ€¦Ã©Â»â€˜"/>
          <w:i w:val="0"/>
          <w:iCs w:val="0"/>
          <w:color w:val="000000"/>
          <w:spacing w:val="0"/>
          <w:sz w:val="24"/>
          <w:szCs w:val="24"/>
          <w:shd w:val="clear" w:fill="FFFFFF"/>
          <w:lang w:val="en-US" w:eastAsia="zh-CN"/>
        </w:rPr>
        <w:t xml:space="preserve">                                         </w:t>
      </w: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台儿庄区科技局</w:t>
      </w:r>
      <w:r>
        <w:rPr>
          <w:rFonts w:hint="eastAsia" w:ascii="Ã¥Â¾Â®Ã¨Â½Â¯Ã©â€ºâ€¦Ã©Â»â€˜" w:hAnsi="Ã¥Â¾Â®Ã¨Â½Â¯Ã©â€ºâ€¦Ã©Â»â€˜" w:eastAsia="宋体" w:cs="Ã¥Â¾Â®Ã¨Â½Â¯Ã©â€ºâ€¦Ã©Â»â€˜"/>
          <w:i w:val="0"/>
          <w:iCs w:val="0"/>
          <w:color w:val="000000"/>
          <w:spacing w:val="0"/>
          <w:sz w:val="24"/>
          <w:szCs w:val="24"/>
          <w:shd w:val="clear" w:fill="FFFFFF"/>
          <w:lang w:val="en-US" w:eastAsia="zh-CN"/>
        </w:rPr>
        <w:t xml:space="preserve">         </w:t>
      </w: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2023年</w:t>
      </w:r>
      <w:r>
        <w:rPr>
          <w:rFonts w:hint="default" w:ascii="Ã¥Â¾Â®Ã¨Â½Â¯Ã©â€ºâ€¦Ã©Â»â€˜" w:hAnsi="Ã¥Â¾Â®Ã¨Â½Â¯Ã©â€ºâ€¦Ã©Â»â€˜" w:eastAsia="Ã¥Â¾Â®Ã¨Â½Â¯Ã©â€ºâ€¦Ã©Â»â€˜" w:cs="Ã¥Â¾Â®Ã¨Â½Â¯Ã©â€ºâ€¦Ã©Â»â€˜"/>
          <w:i w:val="0"/>
          <w:iCs w:val="0"/>
          <w:sz w:val="24"/>
          <w:szCs w:val="24"/>
          <w:shd w:val="clear" w:fill="FFFFFF"/>
        </w:rPr>
        <w:t>1月26</w:t>
      </w:r>
      <w:r>
        <w:rPr>
          <w:rFonts w:hint="default" w:ascii="Ã¥Â¾Â®Ã¨Â½Â¯Ã©â€ºâ€¦Ã©Â»â€˜" w:hAnsi="Ã¥Â¾Â®Ã¨Â½Â¯Ã©â€ºâ€¦Ã©Â»â€˜" w:eastAsia="Ã¥Â¾Â®Ã¨Â½Â¯Ã©â€ºâ€¦Ã©Â»â€˜" w:cs="Ã¥Â¾Â®Ã¨Â½Â¯Ã©â€ºâ€¦Ã©Â»â€˜"/>
          <w:i w:val="0"/>
          <w:iCs w:val="0"/>
          <w:color w:val="000000"/>
          <w:spacing w:val="0"/>
          <w:sz w:val="24"/>
          <w:szCs w:val="24"/>
          <w:shd w:val="clear" w:fill="FFFFFF"/>
        </w:rPr>
        <w:t>日</w:t>
      </w:r>
    </w:p>
    <w:p>
      <w:pPr>
        <w:pStyle w:val="2"/>
        <w:keepNext w:val="0"/>
        <w:keepLines w:val="0"/>
        <w:widowControl/>
        <w:suppressLineNumbers w:val="0"/>
        <w:spacing w:before="0" w:beforeAutospacing="1" w:after="0" w:afterAutospacing="0" w:line="195" w:lineRule="atLeast"/>
        <w:ind w:left="0" w:right="0"/>
        <w:rPr>
          <w:sz w:val="19"/>
          <w:szCs w:val="19"/>
        </w:rPr>
      </w:pPr>
    </w:p>
    <w:p>
      <w:pPr>
        <w:pStyle w:val="2"/>
        <w:keepNext w:val="0"/>
        <w:keepLines w:val="0"/>
        <w:widowControl/>
        <w:suppressLineNumbers w:val="0"/>
        <w:spacing w:line="315" w:lineRule="atLeast"/>
      </w:pPr>
      <w:r>
        <w:t>联系人：郑新宇</w:t>
      </w:r>
    </w:p>
    <w:p>
      <w:pPr>
        <w:pStyle w:val="2"/>
        <w:keepNext w:val="0"/>
        <w:keepLines w:val="0"/>
        <w:widowControl/>
        <w:suppressLineNumbers w:val="0"/>
        <w:spacing w:line="315" w:lineRule="atLeast"/>
      </w:pPr>
      <w:r>
        <w:t>咨询部门：台儿庄区科技局</w:t>
      </w:r>
    </w:p>
    <w:p>
      <w:pPr>
        <w:pStyle w:val="2"/>
        <w:keepNext w:val="0"/>
        <w:keepLines w:val="0"/>
        <w:widowControl/>
        <w:suppressLineNumbers w:val="0"/>
        <w:spacing w:line="315" w:lineRule="atLeast"/>
        <w:rPr>
          <w:rFonts w:hint="eastAsia" w:ascii="宋体" w:hAnsi="宋体" w:eastAsia="宋体" w:cs="宋体"/>
        </w:rPr>
      </w:pPr>
      <w:r>
        <w:rPr>
          <w:rFonts w:hint="eastAsia" w:ascii="宋体" w:hAnsi="宋体" w:eastAsia="宋体" w:cs="宋体"/>
        </w:rPr>
        <w:t>咨询电话：0632-6611541</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DQ5OTMzMmFhMGY1ZWYzMGE2YWQ5ZGFmY2FhNGMifQ=="/>
  </w:docVars>
  <w:rsids>
    <w:rsidRoot w:val="00000000"/>
    <w:rsid w:val="0630770D"/>
    <w:rsid w:val="1666025D"/>
    <w:rsid w:val="35633E8E"/>
    <w:rsid w:val="43727992"/>
    <w:rsid w:val="4B3158F3"/>
    <w:rsid w:val="6173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2450</Words>
  <Characters>2594</Characters>
  <Lines>0</Lines>
  <Paragraphs>0</Paragraphs>
  <TotalTime>5</TotalTime>
  <ScaleCrop>false</ScaleCrop>
  <LinksUpToDate>false</LinksUpToDate>
  <CharactersWithSpaces>2657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2023-01-27T06:04:00Z</dcterms:created>
  <dc:creator>Lenovo</dc:creator>
  <cp:lastModifiedBy>小白 杨</cp:lastModifiedBy>
  <dcterms:modified xsi:type="dcterms:W3CDTF">2023-01-27T06:11:10Z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C7E77C861FC84A16961B6C303C8D09D2</vt:lpwstr>
  </property>
</Properties>
</file>