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eastAsia="Helvetica" w:cs="Arial" w:asciiTheme="majorAscii" w:hAnsiTheme="majorAscii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eastAsia="Helvetica" w:cs="Arial" w:asciiTheme="majorAscii" w:hAnsiTheme="majorAscii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枣庄市台儿庄区自然资源局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eastAsia="Helvetica" w:cs="Arial" w:asciiTheme="majorAscii" w:hAnsiTheme="majorAscii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eastAsia="宋体" w:cs="Arial" w:asciiTheme="majorAscii" w:hAnsiTheme="majorAscii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2022年</w:t>
      </w:r>
      <w:r>
        <w:rPr>
          <w:rFonts w:hint="default" w:eastAsia="Helvetica" w:cs="Arial" w:asciiTheme="majorAscii" w:hAnsiTheme="majorAscii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ascii="Arial" w:hAnsi="Arial" w:eastAsia="Helvetica" w:cs="Arial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（国务院令第711号，以下简称《条例》）和《国务院办公厅政府信息与政务公开办公室关于印发〈中华人民共和国政府信息公开工作年度报告格式〉的通知》（国办公开办函〔2021〕30号）要求，发布台儿庄区自然资源局2022年政府信息公开工作年度报告。如对本报告有疑问，请与台儿庄区自然资源局办公室联系（地址：枣庄市台儿庄区林运路29号；电话：0632—6611716；邮箱：tezgt6611716@zz.shandong.cn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本年度报告中所列数据统计期限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1月1日到12月31日止。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2022年台儿庄区自然资源局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习近平新时代中国特色社会主义思想为指导，认真落实区委区政府有关工作要求，坚持以人民为中心，紧紧围绕自然资源管理职责和重点工作任务，不断拓展公开的广度和深度，继续坚持以公开为常态、不公开为例外，加强政策解读和政务舆情回应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jc w:val="left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1.加强信息发布。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依托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门户网站发布各类政府信息1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条。对规划计划、土地征收、矿业权出让、地质灾害和林业有害生物预警预报、财政预决算、政府采购、权责清单、行政许可和其他对外服务事项、处罚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等法定主动公开信息进行公开。机构职能信息按照统一格式进行发布。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2.加强解读回应。建立决策预公开制度，通过文字、图片和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音频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等多形式对政策文件进行解读。主动公开人大建议和政协提案的答复和总体采纳吸收的办理情况。对政府工作报告、重点工作公开承诺事项的完成情况进行公开。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3.充分利用各级各类媒体平台推动政务公开。在媒体刊发多篇报道，新闻宣传数量和质量同步创新高，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古城台儿庄网、大众日报客户端等渠道公开129条信息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。增强了政府信息发布的主动性、权威性和时效性。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（二）依申请公开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Arial" w:hAnsi="Arial" w:eastAsia="仿宋_GB2312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10" w:name="_GoBack"/>
      <w:bookmarkEnd w:id="10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5080000" cy="3810000"/>
            <wp:effectExtent l="4445" t="4445" r="20955" b="1460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共收到政府信息公开申请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件，同比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下降43.75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%，申请数量呈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趋势。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080000" cy="3810000"/>
            <wp:effectExtent l="4445" t="4445" r="20955" b="1460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宋体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政府信息公开申请的内容主要涉及土地征收、信访举报等方面。本年度，答复政府信息公开申请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件，结转上年0件，按时答复率100%，有0件结转下年继续办理。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其中予以公开4件，部分公开1件，重复来件1件，不予公开1件（涉及个人隐私公开会对第三方合法权益造成损害的政府信息），无法提供2件。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Arial" w:hAnsi="Arial" w:eastAsia="仿宋_GB2312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 我局党组高度重视政府信息公开工作，结合自然资源工作，不断规范信息公开内容，突出信息公开重点，健全公开工作机制，提高工作水平，大力推行阳光政务。一是成立政务信息公开专项工作领导小组，由党组书记、局长任组长，下设领导小组办公室，办公室设在政务信息中心，由分管领导任办公室主任，政务信息中心负责政府信息公开具体工作，其他科室配合协助工作开展。二是加大信息公开工作的人员和资金投入，成立政务信息中心，具体负责政务公开工作。三是按照应公开尽公开原则，对各类信息做到分类清晰、体系完善，推进自然资源监管信息全面、及时、准确公开。四是建立审查制度，为确保政府信息公开和保密工作的落实，我局坚持“一事一审”，确保信息发布做到“凡公开、必审查、后公开”。五是加强日常监测、巡查，形成日常检查、值班读网的制度规范。   </w:t>
      </w:r>
      <w:r>
        <w:rPr>
          <w:rFonts w:hint="default" w:ascii="fantasy" w:hAnsi="Helvetica" w:eastAsia="fantasy" w:cs="fantasy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    二、主动公开政府信息情况</w:t>
      </w:r>
    </w:p>
    <w:tbl>
      <w:tblPr>
        <w:tblStyle w:val="4"/>
        <w:tblW w:w="88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034"/>
        <w:gridCol w:w="2051"/>
        <w:gridCol w:w="2051"/>
        <w:gridCol w:w="2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5" w:hRule="atLeast"/>
          <w:jc w:val="center"/>
        </w:trPr>
        <w:tc>
          <w:tcPr>
            <w:tcW w:w="86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jc w:val="center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本年制发件数</w:t>
            </w:r>
          </w:p>
        </w:tc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本年废止件数</w:t>
            </w:r>
          </w:p>
        </w:tc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jc w:val="center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规章</w:t>
            </w:r>
          </w:p>
        </w:tc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jc w:val="center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行政规范性文件</w:t>
            </w:r>
          </w:p>
        </w:tc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jc w:val="center"/>
        </w:trPr>
        <w:tc>
          <w:tcPr>
            <w:tcW w:w="86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jc w:val="center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信息内容</w:t>
            </w:r>
          </w:p>
        </w:tc>
        <w:tc>
          <w:tcPr>
            <w:tcW w:w="64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jc w:val="center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行政许可</w:t>
            </w:r>
          </w:p>
        </w:tc>
        <w:tc>
          <w:tcPr>
            <w:tcW w:w="64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jc w:val="center"/>
        </w:trPr>
        <w:tc>
          <w:tcPr>
            <w:tcW w:w="86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jc w:val="center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信息内容</w:t>
            </w:r>
          </w:p>
        </w:tc>
        <w:tc>
          <w:tcPr>
            <w:tcW w:w="64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jc w:val="center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行政处罚</w:t>
            </w:r>
          </w:p>
        </w:tc>
        <w:tc>
          <w:tcPr>
            <w:tcW w:w="64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jc w:val="center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行政强制</w:t>
            </w:r>
          </w:p>
        </w:tc>
        <w:tc>
          <w:tcPr>
            <w:tcW w:w="64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jc w:val="center"/>
        </w:trPr>
        <w:tc>
          <w:tcPr>
            <w:tcW w:w="86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jc w:val="center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信息内容</w:t>
            </w:r>
          </w:p>
        </w:tc>
        <w:tc>
          <w:tcPr>
            <w:tcW w:w="64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5" w:hRule="atLeast"/>
          <w:jc w:val="center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行政事业性收费</w:t>
            </w:r>
          </w:p>
        </w:tc>
        <w:tc>
          <w:tcPr>
            <w:tcW w:w="64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15.448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扩宽公开渠道，进一步加大政务开放力度，提高服务质量和服务效率，增强群众认同感、获得感、幸福感。一是在不动产登记中心和政务大厅窗口放置《一次告知单》，免费提供给前来办事的群众。二是结合4·22地球日、6·25全国土地日、12·4宪 法宣传日等时间节点，采用挂标语、摆展板、送手册、发传单等方式，向群众宣传自然资源系统政策法规，解答群众咨询的相关问题。三是利用山东省政务服务网，全面公开我局行政执法事项服务指南。四是利用中国土地市场网及时对社会公开出让公告等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    三、收到和处理政府信息公开申请情况</w:t>
      </w:r>
    </w:p>
    <w:tbl>
      <w:tblPr>
        <w:tblStyle w:val="4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16"/>
        <w:gridCol w:w="825"/>
        <w:gridCol w:w="2750"/>
        <w:gridCol w:w="600"/>
        <w:gridCol w:w="450"/>
        <w:gridCol w:w="500"/>
        <w:gridCol w:w="534"/>
        <w:gridCol w:w="518"/>
        <w:gridCol w:w="593"/>
        <w:gridCol w:w="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49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fantasy" w:eastAsia="fantasy" w:cs="fantasy"/>
                <w:sz w:val="19"/>
                <w:szCs w:val="19"/>
              </w:rPr>
              <w:t>（本列数据的勾稽关系为：第一项加第二项之和，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fantasy" w:eastAsia="fantasy" w:cs="fantasy"/>
                <w:sz w:val="19"/>
                <w:szCs w:val="19"/>
              </w:rPr>
              <w:t>等于第三项加第四项之和）</w:t>
            </w:r>
          </w:p>
        </w:tc>
        <w:tc>
          <w:tcPr>
            <w:tcW w:w="4031" w:type="dxa"/>
            <w:gridSpan w:val="7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49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自然人</w:t>
            </w:r>
          </w:p>
        </w:tc>
        <w:tc>
          <w:tcPr>
            <w:tcW w:w="25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法人或其他组织</w:t>
            </w:r>
          </w:p>
        </w:tc>
        <w:tc>
          <w:tcPr>
            <w:tcW w:w="8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49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-108" w:right="-108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商业企业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-108" w:right="-108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科研机构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-108" w:right="-108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社会公益组织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-108" w:right="-108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法律服务机构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62" w:right="-136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其他</w:t>
            </w:r>
          </w:p>
        </w:tc>
        <w:tc>
          <w:tcPr>
            <w:tcW w:w="8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49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bookmarkStart w:id="0" w:name="_Hlk66973412"/>
            <w:bookmarkEnd w:id="0"/>
            <w:r>
              <w:rPr>
                <w:rFonts w:hint="eastAsia" w:ascii="黑体" w:hAnsi="宋体" w:eastAsia="黑体" w:cs="黑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49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三、本年度办理结果</w:t>
            </w:r>
          </w:p>
        </w:tc>
        <w:tc>
          <w:tcPr>
            <w:tcW w:w="3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0" w:right="0" w:firstLine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（一）予以公开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0" w:right="0" w:firstLine="0"/>
              <w:rPr>
                <w:sz w:val="19"/>
                <w:szCs w:val="19"/>
              </w:rPr>
            </w:pPr>
            <w:bookmarkStart w:id="1" w:name="_Hlk66973981"/>
            <w:bookmarkEnd w:id="1"/>
            <w:r>
              <w:rPr>
                <w:rFonts w:hint="eastAsia" w:ascii="黑体" w:hAnsi="宋体" w:eastAsia="黑体" w:cs="黑体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108" w:right="0" w:firstLine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（三）不予公开</w:t>
            </w: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1.属于国家秘密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bookmarkStart w:id="2" w:name="_Hlk66974104"/>
            <w:bookmarkEnd w:id="2"/>
            <w:r>
              <w:rPr>
                <w:rFonts w:hint="default" w:ascii="仿宋_GB2312" w:eastAsia="仿宋_GB2312" w:cs="仿宋_GB2312"/>
                <w:sz w:val="19"/>
                <w:szCs w:val="19"/>
              </w:rPr>
              <w:t>2.其他法律行政法规禁止公开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3.危及“三安全一稳定”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bookmarkStart w:id="3" w:name="_Hlk66974290"/>
            <w:bookmarkEnd w:id="3"/>
            <w:r>
              <w:rPr>
                <w:rFonts w:hint="default" w:ascii="仿宋_GB2312" w:eastAsia="仿宋_GB2312" w:cs="仿宋_GB2312"/>
                <w:sz w:val="19"/>
                <w:szCs w:val="19"/>
              </w:rPr>
              <w:t>4.保护第三方合法权益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5.属于三类内部事务信息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bookmarkStart w:id="4" w:name="_Hlk66974555"/>
            <w:bookmarkEnd w:id="4"/>
            <w:r>
              <w:rPr>
                <w:rFonts w:hint="default" w:ascii="仿宋_GB2312" w:eastAsia="仿宋_GB2312" w:cs="仿宋_GB2312"/>
                <w:sz w:val="19"/>
                <w:szCs w:val="19"/>
              </w:rPr>
              <w:t>6.属于四类过程性信息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7.属于行政执法案卷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bookmarkStart w:id="5" w:name="_Hlk66975211"/>
            <w:bookmarkEnd w:id="5"/>
            <w:r>
              <w:rPr>
                <w:rFonts w:hint="default" w:ascii="仿宋_GB2312" w:eastAsia="仿宋_GB2312" w:cs="仿宋_GB2312"/>
                <w:sz w:val="19"/>
                <w:szCs w:val="19"/>
              </w:rPr>
              <w:t>8.属于行政查询事项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108" w:right="0" w:firstLine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（四）无法提供</w:t>
            </w: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1.本机关不掌握相关政府信息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bookmarkStart w:id="6" w:name="_Hlk66975392"/>
            <w:bookmarkEnd w:id="6"/>
            <w:r>
              <w:rPr>
                <w:rFonts w:hint="default" w:ascii="仿宋_GB2312" w:eastAsia="仿宋_GB2312" w:cs="仿宋_GB2312"/>
                <w:sz w:val="19"/>
                <w:szCs w:val="19"/>
              </w:rPr>
              <w:t>2.没有现成信息需要另行制作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bookmarkStart w:id="7" w:name="_Hlk66975466"/>
            <w:bookmarkEnd w:id="7"/>
            <w:r>
              <w:rPr>
                <w:rFonts w:hint="default" w:ascii="仿宋_GB2312" w:eastAsia="仿宋_GB2312" w:cs="仿宋_GB2312"/>
                <w:sz w:val="19"/>
                <w:szCs w:val="19"/>
              </w:rPr>
              <w:t>3.补正后申请内容仍不明确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108" w:right="0" w:firstLine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（五）不予处理</w:t>
            </w: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bookmarkStart w:id="8" w:name="_Hlk66975537"/>
            <w:bookmarkEnd w:id="8"/>
            <w:r>
              <w:rPr>
                <w:rFonts w:hint="default" w:ascii="仿宋_GB2312" w:eastAsia="仿宋_GB2312" w:cs="仿宋_GB2312"/>
                <w:sz w:val="19"/>
                <w:szCs w:val="19"/>
              </w:rPr>
              <w:t>1.信访举报投诉类申请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2.重复申请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3.要求提供公开出版物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4.无正当理由大量反复申请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0" w:right="0" w:firstLine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（六）其他处理</w:t>
            </w: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3.其他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0" w:right="0" w:firstLine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（七）总计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49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四、结转下年度继续办理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default" w:eastAsiaTheme="minor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eastAsiaTheme="minorEastAsia"/>
                <w:sz w:val="19"/>
                <w:szCs w:val="19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42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center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4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56"/>
        <w:gridCol w:w="489"/>
        <w:gridCol w:w="452"/>
        <w:gridCol w:w="633"/>
        <w:gridCol w:w="800"/>
        <w:gridCol w:w="330"/>
        <w:gridCol w:w="489"/>
        <w:gridCol w:w="595"/>
        <w:gridCol w:w="370"/>
        <w:gridCol w:w="961"/>
        <w:gridCol w:w="450"/>
        <w:gridCol w:w="370"/>
        <w:gridCol w:w="471"/>
        <w:gridCol w:w="592"/>
        <w:gridCol w:w="1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1" w:hRule="atLeast"/>
          <w:jc w:val="center"/>
        </w:trPr>
        <w:tc>
          <w:tcPr>
            <w:tcW w:w="27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行政复议</w:t>
            </w:r>
          </w:p>
        </w:tc>
        <w:tc>
          <w:tcPr>
            <w:tcW w:w="579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148" w:right="-17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148" w:right="-17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维持</w:t>
            </w:r>
          </w:p>
        </w:tc>
        <w:tc>
          <w:tcPr>
            <w:tcW w:w="4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45" w:right="-13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结果纠正</w:t>
            </w:r>
          </w:p>
        </w:tc>
        <w:tc>
          <w:tcPr>
            <w:tcW w:w="4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79" w:right="-96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其他结果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119" w:right="-119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119" w:right="-119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审结</w:t>
            </w:r>
          </w:p>
        </w:tc>
        <w:tc>
          <w:tcPr>
            <w:tcW w:w="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计</w:t>
            </w:r>
          </w:p>
        </w:tc>
        <w:tc>
          <w:tcPr>
            <w:tcW w:w="274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未经复议直接起诉</w:t>
            </w:r>
          </w:p>
        </w:tc>
        <w:tc>
          <w:tcPr>
            <w:tcW w:w="30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bookmarkStart w:id="9" w:name="_Hlk67039688"/>
            <w:bookmarkEnd w:id="9"/>
            <w:r>
              <w:rPr>
                <w:rFonts w:hint="eastAsia" w:ascii="黑体" w:hAnsi="宋体" w:eastAsia="黑体" w:cs="黑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108" w:right="-125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结果维持</w:t>
            </w:r>
          </w:p>
        </w:tc>
        <w:tc>
          <w:tcPr>
            <w:tcW w:w="48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85" w:right="-91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结果纠正</w:t>
            </w:r>
          </w:p>
        </w:tc>
        <w:tc>
          <w:tcPr>
            <w:tcW w:w="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125" w:right="-136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125" w:right="-136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</w:t>
            </w: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165" w:right="-153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165" w:right="-153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审结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总计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96" w:right="-79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结果维持</w:t>
            </w: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136" w:right="-125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136" w:right="-125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纠正</w:t>
            </w:r>
          </w:p>
        </w:tc>
        <w:tc>
          <w:tcPr>
            <w:tcW w:w="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176" w:right="-136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176" w:right="-136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</w:t>
            </w:r>
          </w:p>
        </w:tc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68" w:right="-108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尚未审结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5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8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8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7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37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7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存在的问题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存在部分应公开内容未及时公开的现象；二是主动公开的主动性及深度不够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；三是政策解读主要以文字为主，多角度解读和问答式解读较少。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改进情况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针对上述问题，我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主要作出了以下改进。一是进一步规范和加强政策解读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通过文字、图片和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音频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等多角度解读，丰富了解读形式。提升公开成效。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继续强化人才队伍建设。选用政治性强、有责任心的人员负责信息公开工作，保障提升信息公开专业化水平。定期对信息公开工作人员进行业务培训，向工作先进的部门和区市学习。三是加大审查力度。对公开的内容严格审查校对，确保真实、准确公开应公开的所有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大代表建议和政协提案办理情况。按照政府网站建议提案办理专栏要求，使用统一规范格式集中发布人大代表建议和政协提案办理结果情况，台儿庄区自然资源局2022年公布区人大建议办理结果2件，区政协提案办理结果2件，市政协提案办理结果4件，并及时公开我局建议提案办理年度总体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tas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MWE1MTQyOTc1MzUyODc0MDQzYTMwNjkxYjdmOWUifQ=="/>
  </w:docVars>
  <w:rsids>
    <w:rsidRoot w:val="6B9F746A"/>
    <w:rsid w:val="02006646"/>
    <w:rsid w:val="0CAD19C3"/>
    <w:rsid w:val="14F57368"/>
    <w:rsid w:val="1BDC6730"/>
    <w:rsid w:val="1EBB4EBE"/>
    <w:rsid w:val="260333D3"/>
    <w:rsid w:val="27363F4D"/>
    <w:rsid w:val="2BAA6C61"/>
    <w:rsid w:val="31A332EC"/>
    <w:rsid w:val="33DE760F"/>
    <w:rsid w:val="36A120F6"/>
    <w:rsid w:val="36EA61A8"/>
    <w:rsid w:val="38A722E3"/>
    <w:rsid w:val="392C27E9"/>
    <w:rsid w:val="3F003095"/>
    <w:rsid w:val="50F46C1A"/>
    <w:rsid w:val="540A275F"/>
    <w:rsid w:val="54D23DEC"/>
    <w:rsid w:val="5D0801BA"/>
    <w:rsid w:val="5D18758B"/>
    <w:rsid w:val="617A450F"/>
    <w:rsid w:val="66AB5757"/>
    <w:rsid w:val="678E2418"/>
    <w:rsid w:val="6B9F746A"/>
    <w:rsid w:val="6D0C2E30"/>
    <w:rsid w:val="736C0099"/>
    <w:rsid w:val="79CD5F58"/>
    <w:rsid w:val="79E836BE"/>
    <w:rsid w:val="7CE309DD"/>
    <w:rsid w:val="7F3A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历年收到依申请件数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16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632"/>
        <c:axId val="773381282"/>
      </c:barChart>
      <c:catAx>
        <c:axId val="583896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3381282"/>
        <c:crosses val="autoZero"/>
        <c:auto val="1"/>
        <c:lblAlgn val="ctr"/>
        <c:lblOffset val="100"/>
        <c:noMultiLvlLbl val="0"/>
      </c:catAx>
      <c:valAx>
        <c:axId val="77338128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389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依申请公开答复情况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Sheet1!$A$2:$A$6</c:f>
              <c:strCache>
                <c:ptCount val="5"/>
                <c:pt idx="0">
                  <c:v>予以公开</c:v>
                </c:pt>
                <c:pt idx="1">
                  <c:v>部分公开</c:v>
                </c:pt>
                <c:pt idx="2">
                  <c:v>重复来件</c:v>
                </c:pt>
                <c:pt idx="3">
                  <c:v>不予公开</c:v>
                </c:pt>
                <c:pt idx="4">
                  <c:v>无法提供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2847</Words>
  <Characters>2973</Characters>
  <Lines>0</Lines>
  <Paragraphs>0</Paragraphs>
  <TotalTime>743</TotalTime>
  <ScaleCrop>false</ScaleCrop>
  <LinksUpToDate>false</LinksUpToDate>
  <CharactersWithSpaces>2975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2022-01-28T01:14:00Z</dcterms:created>
  <dc:creator>大梦</dc:creator>
  <cp:lastModifiedBy>大梦</cp:lastModifiedBy>
  <cp:lastPrinted>2023-01-12T08:30:00Z</cp:lastPrinted>
  <dcterms:modified xsi:type="dcterms:W3CDTF">2023-01-19T06:35:01Z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897DA176A83D4F3C9A289B7A0B29C47B</vt:lpwstr>
  </property>
</Properties>
</file>