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枣庄市台儿庄区自然资源局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default" w:eastAsia="Helvetica" w:cs="Arial" w:asciiTheme="majorAscii" w:hAnsiTheme="majorAscii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2021年政府信息公开工作年度报告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根据《中华人民共和国政府信息公开条例》（国务院令第711号，以下简称《条例》）和《国务院办公厅政府信息与政务公开办公室关于印发〈中华人民共和国政府信息公开工作年度报告格式〉的通知》（国办公开办函〔2021〕30号）要求，发布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台儿庄区自然资源局</w:t>
      </w: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2021年政府信息公开工作年度报告。如对本报告有疑问，请与台儿庄区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自然资源局</w:t>
      </w: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办公室联系(地址:枣庄市台儿庄区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林运</w:t>
      </w: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路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号；电话：0632—6611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716</w:t>
      </w: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；邮箱：tez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gt6611716</w:t>
      </w: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@zz.shandong.cn 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78" w:beforeAutospacing="0" w:after="278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Arial" w:hAnsi="Arial" w:eastAsia="Helvetica" w:cs="Arial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本报告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2021年1月1日到12月31日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    2021年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台儿庄区自然资源局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习近平新时代中国特色社会主义思想为指导，认真落实区委区政府有关工作要求，坚持以人民为中心，紧紧围绕自然资源管理职责和重点工作任务，不断拓展公开的广度和深度，充分发挥政务公开在建设服务政府、法治政府、效能政府、廉洁政府等方面的促进作用，为新时代现代化强省建设做出新贡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fantasy" w:hAnsi="Helvetica" w:eastAsia="fantasy" w:cs="fantasy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    （一）主动公开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 1.加强信息发布。2021年依托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门户网站发布各类政府信息1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条。对规划计划、土地征收、矿业权出让、地质灾害和林业有害生物预警预报、财政预决算、政府采购、权责清单、行政许可和其他对外服务事项、处罚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强制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等法定主动公开信息进行公开。机构职能信息按照统一格式进行发布。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    2.加强解读回应。建立决策预公开制度，通过文字、图片和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音频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等多形式对政策文件进行解读。主动公开人大建议和政协提案的答复和总体采纳吸收的办理情况。对政府工作报告、重点工作公开承诺事项的完成情况进行公开。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    3.充分利用各级各类媒体平台推动政务公开。在媒体刊发多篇报道，新闻宣传数量和质量同步创新高，在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中国矿业报、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古城台儿庄网、大众日报客户端等渠道公开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41条信息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。增强了政府信息发布的主动性、权威性和时效性。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fantasy" w:hAnsi="Helvetica" w:eastAsia="fantasy" w:cs="fantasy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    （二）依申请公开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  2021年共收到政府信息公开申请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6件，同比上升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400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%，申请数量呈上升趋势。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  <w:r>
        <w:rPr>
          <w:rFonts w:hint="default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政府信息公开申请的内容主要涉及土地征收、信访举报等方面。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    本年度，答复政府信息公开申请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6件，结转上年0件，按时答复率100%，有0件结转下年继续办理。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080000" cy="3810000"/>
            <wp:effectExtent l="4445" t="4445" r="20955" b="1460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-148" w:right="-170" w:firstLine="0"/>
        <w:jc w:val="left"/>
        <w:rPr>
          <w:rFonts w:hint="eastAsia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fantasy" w:hAnsi="Helvetica" w:eastAsia="fantasy" w:cs="fantasy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    （三）政府信息管理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</w:t>
      </w:r>
      <w:r>
        <w:rPr>
          <w:rFonts w:hint="default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 </w:t>
      </w:r>
      <w:r>
        <w:rPr>
          <w:rFonts w:hint="eastAsia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局党组高度重视政府信息公开工作，坚持公开为常态、不公开为例外原则，结合自然资源工作，不断规范信息公开内容，突出信息公开重点，健全公开工作机制，提高工作水平，大力推行阳光政务。一是成立政务信息公开专项工作领导小组，由党组书记、局长任组长，下设领导小组办公室，办公室设在政务信息中心，由分管领导任办公室主任，政务信息中心负责政府信息公开具体工作，其他科室配合协助工作开展。二是加大信息公开工作的人员和资金投入，成立政务信息中心，具体负责政务公开工作。三是按照应公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-392430</wp:posOffset>
            </wp:positionH>
            <wp:positionV relativeFrom="paragraph">
              <wp:posOffset>2307590</wp:posOffset>
            </wp:positionV>
            <wp:extent cx="5540375" cy="3637915"/>
            <wp:effectExtent l="0" t="0" r="3175" b="635"/>
            <wp:wrapTopAndBottom/>
            <wp:docPr id="4" name="图片 4" descr="screenshot_20220110_10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_20220110_1036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仿宋_GB2312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尽公开原则，对各类信息做到分类清晰、体系完善，推进自然资源监管信息全面、及时、准确公开，推进自然资源监管信息全面、及时、准确公开。四是建立审查制度，为确保政府信息公开和保密工作的落实，我局坚持“一事一审”，确保信息发布做到“凡公开、必审查、后公开”。五是加强日常监测、巡查，形成日常检查、值班读网的制度规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fantasy" w:hAnsi="Helvetica" w:eastAsia="fantasy" w:cs="fantasy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黑体" w:eastAsia="仿宋_GB2312" w:cs="宋体"/>
          <w:color w:val="000000"/>
          <w:kern w:val="0"/>
          <w:sz w:val="32"/>
          <w:szCs w:val="32"/>
          <w:lang w:val="en-US" w:eastAsia="zh-CN"/>
        </w:rPr>
        <w:t>扩宽公开渠道，进一步加大政务开放力度，提高服务质量和服务效率，增强群众认同感、获得感、幸福感。一是在不动产登记中心和政务大厅窗口放置《一次告知单》，免费提供给前来办事的群众。二是结合4·22地球日、6·25全国土地日、12·4宪 法宣传日等时间节点，采用挂标语、摆展板、送手册、发传单等方式，向群众宣传自然资源系统政策法规，解答群众咨询的相关问题。三是开展“政府开放日”活动，邀请人大代表、政协委员、人民群众代表走进区不动产登记分中心，共同观摩现场、交流工作，感受我区自然资源事业发展的新成就、新变化。四是利用山东省政务服务网，全面公开我局行政执法事项服务指南。五是利用中国土地市场网及时对社会公开出让公告等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170180</wp:posOffset>
            </wp:positionV>
            <wp:extent cx="5202555" cy="3906520"/>
            <wp:effectExtent l="0" t="0" r="17145" b="17780"/>
            <wp:wrapTight wrapText="bothSides">
              <wp:wrapPolygon>
                <wp:start x="0" y="0"/>
                <wp:lineTo x="0" y="21488"/>
                <wp:lineTo x="21513" y="21488"/>
                <wp:lineTo x="21513" y="0"/>
                <wp:lineTo x="0" y="0"/>
              </wp:wrapPolygon>
            </wp:wrapTight>
            <wp:docPr id="2" name="图片 1" descr="U02021101567707869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U020211015677078691009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02555" cy="3906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    二、主动公开政府信息情况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</w:p>
    <w:tbl>
      <w:tblPr>
        <w:tblStyle w:val="4"/>
        <w:tblW w:w="88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034"/>
        <w:gridCol w:w="2051"/>
        <w:gridCol w:w="2051"/>
        <w:gridCol w:w="2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本年制发件数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本年废止件数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行政规范性文件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99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行政许可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行政处罚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行政强制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861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60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信息内容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45" w:hRule="atLeast"/>
          <w:jc w:val="center"/>
        </w:trPr>
        <w:tc>
          <w:tcPr>
            <w:tcW w:w="19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left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行政事业性收费</w:t>
            </w:r>
          </w:p>
        </w:tc>
        <w:tc>
          <w:tcPr>
            <w:tcW w:w="642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76.5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    三、收到和处理政府信息公开申请情况</w:t>
      </w: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16"/>
        <w:gridCol w:w="825"/>
        <w:gridCol w:w="2750"/>
        <w:gridCol w:w="600"/>
        <w:gridCol w:w="450"/>
        <w:gridCol w:w="500"/>
        <w:gridCol w:w="534"/>
        <w:gridCol w:w="518"/>
        <w:gridCol w:w="593"/>
        <w:gridCol w:w="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fantasy" w:eastAsia="fantasy" w:cs="fantasy"/>
                <w:sz w:val="19"/>
                <w:szCs w:val="19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default" w:ascii="fantasy" w:eastAsia="fantasy" w:cs="fantasy"/>
                <w:sz w:val="19"/>
                <w:szCs w:val="19"/>
              </w:rPr>
              <w:t>等于第三项加第四项之和）</w:t>
            </w:r>
          </w:p>
        </w:tc>
        <w:tc>
          <w:tcPr>
            <w:tcW w:w="4031" w:type="dxa"/>
            <w:gridSpan w:val="7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自然人</w:t>
            </w:r>
          </w:p>
        </w:tc>
        <w:tc>
          <w:tcPr>
            <w:tcW w:w="259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法人或其他组织</w:t>
            </w:r>
          </w:p>
        </w:tc>
        <w:tc>
          <w:tcPr>
            <w:tcW w:w="8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商业企业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科研机构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社会公益组织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-10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法律服务机构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62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</w:t>
            </w:r>
          </w:p>
        </w:tc>
        <w:tc>
          <w:tcPr>
            <w:tcW w:w="83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0" w:name="_Hlk66973412"/>
            <w:bookmarkEnd w:id="0"/>
            <w:r>
              <w:rPr>
                <w:rFonts w:hint="eastAsia" w:ascii="黑体" w:hAnsi="宋体" w:eastAsia="黑体" w:cs="黑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both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restart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三、本年度办理结果</w:t>
            </w:r>
          </w:p>
        </w:tc>
        <w:tc>
          <w:tcPr>
            <w:tcW w:w="3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（一）予以公开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bookmarkStart w:id="1" w:name="_Hlk66973981"/>
            <w:bookmarkEnd w:id="1"/>
            <w:r>
              <w:rPr>
                <w:rFonts w:hint="eastAsia" w:ascii="黑体" w:hAnsi="宋体" w:eastAsia="黑体" w:cs="黑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（三）不予公开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1.属于国家秘密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2" w:name="_Hlk66974104"/>
            <w:bookmarkEnd w:id="2"/>
            <w:r>
              <w:rPr>
                <w:rFonts w:hint="default" w:ascii="仿宋_GB2312" w:eastAsia="仿宋_GB2312" w:cs="仿宋_GB2312"/>
                <w:sz w:val="19"/>
                <w:szCs w:val="19"/>
              </w:rPr>
              <w:t>2.其他法律行政法规禁止公开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3.危及“三安全一稳定”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3" w:name="_Hlk66974290"/>
            <w:bookmarkEnd w:id="3"/>
            <w:r>
              <w:rPr>
                <w:rFonts w:hint="default" w:ascii="仿宋_GB2312" w:eastAsia="仿宋_GB2312" w:cs="仿宋_GB2312"/>
                <w:sz w:val="19"/>
                <w:szCs w:val="19"/>
              </w:rPr>
              <w:t>4.保护第三方合法权益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5.属于三类内部事务信息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4" w:name="_Hlk66974555"/>
            <w:bookmarkEnd w:id="4"/>
            <w:r>
              <w:rPr>
                <w:rFonts w:hint="default" w:ascii="仿宋_GB2312" w:eastAsia="仿宋_GB2312" w:cs="仿宋_GB2312"/>
                <w:sz w:val="19"/>
                <w:szCs w:val="19"/>
              </w:rPr>
              <w:t>6.属于四类过程性信息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7.属于行政执法案卷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5" w:name="_Hlk66975211"/>
            <w:bookmarkEnd w:id="5"/>
            <w:r>
              <w:rPr>
                <w:rFonts w:hint="default" w:ascii="仿宋_GB2312" w:eastAsia="仿宋_GB2312" w:cs="仿宋_GB2312"/>
                <w:sz w:val="19"/>
                <w:szCs w:val="19"/>
              </w:rPr>
              <w:t>8.属于行政查询事项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（四）无法提供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1.本机关不掌握相关政府信息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="仿宋_GB2312"/>
                <w:sz w:val="19"/>
                <w:szCs w:val="19"/>
                <w:lang w:val="en-US" w:eastAsia="zh-CN"/>
              </w:rPr>
            </w:pPr>
            <w:r>
              <w:rPr>
                <w:rFonts w:hint="eastAsia" w:eastAsia="仿宋_GB2312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6" w:name="_Hlk66975392"/>
            <w:bookmarkEnd w:id="6"/>
            <w:r>
              <w:rPr>
                <w:rFonts w:hint="default" w:ascii="仿宋_GB2312" w:eastAsia="仿宋_GB2312" w:cs="仿宋_GB2312"/>
                <w:sz w:val="19"/>
                <w:szCs w:val="19"/>
              </w:rPr>
              <w:t>2.没有现成信息需要另行制作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7" w:name="_Hlk66975466"/>
            <w:bookmarkEnd w:id="7"/>
            <w:r>
              <w:rPr>
                <w:rFonts w:hint="default" w:ascii="仿宋_GB2312" w:eastAsia="仿宋_GB2312" w:cs="仿宋_GB2312"/>
                <w:sz w:val="19"/>
                <w:szCs w:val="19"/>
              </w:rPr>
              <w:t>3.补正后申请内容仍不明确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（五）不予处理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bookmarkStart w:id="8" w:name="_Hlk66975537"/>
            <w:bookmarkEnd w:id="8"/>
            <w:r>
              <w:rPr>
                <w:rFonts w:hint="default" w:ascii="仿宋_GB2312" w:eastAsia="仿宋_GB2312" w:cs="仿宋_GB2312"/>
                <w:sz w:val="19"/>
                <w:szCs w:val="19"/>
              </w:rPr>
              <w:t>1.信访举报投诉类申请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2.重复申请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6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3.要求提供公开出版物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4.无正当理由大量反复申请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出具已获取信息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（六）其他处理</w:t>
            </w: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3.其他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916" w:type="dxa"/>
            <w:vMerge w:val="continue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7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（七）总计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16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449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四、结转下年度继续办理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3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仿宋_GB2312" w:eastAsia="仿宋_GB2312" w:cs="仿宋_GB2312"/>
                <w:sz w:val="19"/>
                <w:szCs w:val="19"/>
              </w:rPr>
              <w:t>0</w:t>
            </w:r>
          </w:p>
        </w:tc>
        <w:tc>
          <w:tcPr>
            <w:tcW w:w="836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55" w:lineRule="atLeast"/>
        <w:ind w:left="0" w:right="0" w:firstLine="420"/>
        <w:jc w:val="both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4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56"/>
        <w:gridCol w:w="489"/>
        <w:gridCol w:w="452"/>
        <w:gridCol w:w="633"/>
        <w:gridCol w:w="800"/>
        <w:gridCol w:w="330"/>
        <w:gridCol w:w="489"/>
        <w:gridCol w:w="595"/>
        <w:gridCol w:w="370"/>
        <w:gridCol w:w="961"/>
        <w:gridCol w:w="450"/>
        <w:gridCol w:w="370"/>
        <w:gridCol w:w="471"/>
        <w:gridCol w:w="592"/>
        <w:gridCol w:w="1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" w:hRule="atLeast"/>
          <w:jc w:val="center"/>
        </w:trPr>
        <w:tc>
          <w:tcPr>
            <w:tcW w:w="2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行政复议</w:t>
            </w:r>
          </w:p>
        </w:tc>
        <w:tc>
          <w:tcPr>
            <w:tcW w:w="579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48" w:right="-17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48" w:right="-17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维持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45" w:right="-13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45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79" w:right="-9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其他结果</w:t>
            </w:r>
          </w:p>
        </w:tc>
        <w:tc>
          <w:tcPr>
            <w:tcW w:w="6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19" w:right="-119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19" w:right="-119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计</w:t>
            </w:r>
          </w:p>
        </w:tc>
        <w:tc>
          <w:tcPr>
            <w:tcW w:w="27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未经复议直接起诉</w:t>
            </w:r>
          </w:p>
        </w:tc>
        <w:tc>
          <w:tcPr>
            <w:tcW w:w="30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420"/>
              <w:jc w:val="center"/>
              <w:rPr>
                <w:sz w:val="19"/>
                <w:szCs w:val="19"/>
              </w:rPr>
            </w:pPr>
            <w:bookmarkStart w:id="9" w:name="_Hlk67039688"/>
            <w:bookmarkEnd w:id="9"/>
            <w:r>
              <w:rPr>
                <w:rFonts w:hint="eastAsia" w:ascii="黑体" w:hAnsi="宋体" w:eastAsia="黑体" w:cs="黑体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08" w:right="-125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4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85" w:right="-91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结果纠正</w:t>
            </w:r>
          </w:p>
        </w:tc>
        <w:tc>
          <w:tcPr>
            <w:tcW w:w="5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25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25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65" w:right="-153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65" w:right="-153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审结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  <w:tc>
          <w:tcPr>
            <w:tcW w:w="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96" w:right="-79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结果维持</w:t>
            </w:r>
          </w:p>
        </w:tc>
        <w:tc>
          <w:tcPr>
            <w:tcW w:w="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36" w:right="-125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36" w:right="-125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纠正</w:t>
            </w:r>
          </w:p>
        </w:tc>
        <w:tc>
          <w:tcPr>
            <w:tcW w:w="4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-176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176" w:right="-136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结果</w:t>
            </w:r>
          </w:p>
        </w:tc>
        <w:tc>
          <w:tcPr>
            <w:tcW w:w="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-68" w:right="-108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尚未审结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jc w:val="center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96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3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471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2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eastAsia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1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5" w:afterAutospacing="0"/>
              <w:ind w:left="0" w:right="0" w:firstLine="0"/>
              <w:jc w:val="center"/>
              <w:rPr>
                <w:rFonts w:hint="default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/>
                <w:sz w:val="19"/>
                <w:szCs w:val="19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Helvetica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 存在的问题:一是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存在部分应公开内容未及时公开的现象；二是主动公开的深度不够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；三是政策解读主要以文字为主，多角度解读和问答式解读较少。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    改进情况:针对上述问题，我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局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主要作出了以下改进。一</w:t>
      </w:r>
      <w:bookmarkStart w:id="10" w:name="_GoBack"/>
      <w:bookmarkEnd w:id="10"/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是进一步规范和加强政策解读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通过文字、图片和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音频</w:t>
      </w:r>
      <w:r>
        <w:rPr>
          <w:rFonts w:hint="default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等多角度解读，丰富了解读形式。提升公开成效。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二是强化人才队伍建设。选用政治性强、有责任心的人员负责信息公开工作，保障提升信息公开专业化水平。定期对信息公开工作人员进行业务培训，向工作先进的部门和区市学习。</w:t>
      </w: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三是加大审查力度。对公开的内容严格审查校对，确保真实、准确公开应公开的所有事项。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 w:firstLineChars="200"/>
        <w:jc w:val="both"/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Arial" w:hAnsi="Arial" w:eastAsia="Helvetica" w:cs="Arial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大代表建议和政协提案办理情况。按照政府网站建议提案办理专栏要求，使用统一规范格式集中发布人大代表建议和政协提案办理结果情况，台儿庄区自然资源局2021年公布区人大建议办理结果3件，区政协提案办理结果9件，市政协提案办理结果5件，并及时公开我局建议提案办理年度总体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tas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F746A"/>
    <w:rsid w:val="0CAD19C3"/>
    <w:rsid w:val="14F57368"/>
    <w:rsid w:val="1BDC6730"/>
    <w:rsid w:val="27363F4D"/>
    <w:rsid w:val="2BAA6C61"/>
    <w:rsid w:val="31A332EC"/>
    <w:rsid w:val="36A120F6"/>
    <w:rsid w:val="36EA61A8"/>
    <w:rsid w:val="38A722E3"/>
    <w:rsid w:val="3F003095"/>
    <w:rsid w:val="54D23DEC"/>
    <w:rsid w:val="5D0801BA"/>
    <w:rsid w:val="5D18758B"/>
    <w:rsid w:val="617A450F"/>
    <w:rsid w:val="66AB5757"/>
    <w:rsid w:val="678E2418"/>
    <w:rsid w:val="6B9F746A"/>
    <w:rsid w:val="6D0C2E30"/>
    <w:rsid w:val="736C0099"/>
    <w:rsid w:val="79CD5F58"/>
    <w:rsid w:val="79E836BE"/>
    <w:rsid w:val="7CE309DD"/>
    <w:rsid w:val="7F3A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历年收到依申请件数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4</c:v>
                </c:pt>
                <c:pt idx="3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389632"/>
        <c:axId val="773381282"/>
      </c:barChart>
      <c:catAx>
        <c:axId val="5838963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3381282"/>
        <c:crosses val="autoZero"/>
        <c:auto val="1"/>
        <c:lblAlgn val="ctr"/>
        <c:lblOffset val="100"/>
        <c:noMultiLvlLbl val="0"/>
      </c:catAx>
      <c:valAx>
        <c:axId val="77338128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389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依申请公开答复情况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予以公开</c:v>
                </c:pt>
                <c:pt idx="1">
                  <c:v>部分公开</c:v>
                </c:pt>
                <c:pt idx="2">
                  <c:v>重复来件</c:v>
                </c:pt>
                <c:pt idx="3">
                  <c:v>不予公开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2022-01-28T01:14:00Z</dcterms:created>
  <dc:creator>大梦</dc:creator>
  <cp:lastModifiedBy>大梦</cp:lastModifiedBy>
  <dcterms:modified xsi:type="dcterms:W3CDTF">2022-04-19T12:30:47Z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897DA176A83D4F3C9A289B7A0B29C47B</vt:lpwstr>
  </property>
</Properties>
</file>