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台儿庄区发展和改革局2021年政府信息</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公开工作年度报告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根据《中华人民共和国政府信息公开条例》以及</w:t>
      </w:r>
      <w:r>
        <w:rPr>
          <w:rFonts w:hint="eastAsia" w:ascii="仿宋_GB2312" w:hAnsi="仿宋_GB2312" w:eastAsia="仿宋_GB2312" w:cs="仿宋_GB2312"/>
          <w:sz w:val="32"/>
          <w:szCs w:val="32"/>
          <w:lang w:eastAsia="zh-CN"/>
        </w:rPr>
        <w:t>《台儿庄区人民政府办公室关于做好2021年政府信息公开工作年度报告编制和发布工作的通知》</w:t>
      </w:r>
      <w:r>
        <w:rPr>
          <w:rFonts w:hint="eastAsia" w:ascii="仿宋_GB2312" w:hAnsi="仿宋_GB2312" w:eastAsia="仿宋_GB2312" w:cs="仿宋_GB2312"/>
          <w:sz w:val="32"/>
          <w:szCs w:val="32"/>
          <w:lang w:val="en-US" w:eastAsia="zh-CN"/>
        </w:rPr>
        <w:t>部署</w:t>
      </w:r>
      <w:r>
        <w:rPr>
          <w:rFonts w:hint="eastAsia" w:ascii="仿宋_GB2312" w:hAnsi="仿宋_GB2312" w:eastAsia="仿宋_GB2312" w:cs="仿宋_GB2312"/>
          <w:sz w:val="32"/>
          <w:szCs w:val="32"/>
        </w:rPr>
        <w:t>，结合我局实际，编制并向社会公布</w:t>
      </w:r>
      <w:r>
        <w:rPr>
          <w:rFonts w:hint="eastAsia" w:ascii="仿宋_GB2312" w:hAnsi="仿宋_GB2312" w:eastAsia="仿宋_GB2312" w:cs="仿宋_GB2312"/>
          <w:sz w:val="32"/>
          <w:szCs w:val="32"/>
          <w:lang w:eastAsia="zh-CN"/>
        </w:rPr>
        <w:t>台儿庄区</w:t>
      </w:r>
      <w:r>
        <w:rPr>
          <w:rFonts w:hint="eastAsia" w:ascii="仿宋_GB2312" w:hAnsi="仿宋_GB2312" w:eastAsia="仿宋_GB2312" w:cs="仿宋_GB2312"/>
          <w:sz w:val="32"/>
          <w:szCs w:val="32"/>
        </w:rPr>
        <w:t>发展和改革局202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年政府信息公开工作年度报告。本年度报告中所列数据的统计期限自202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以来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发改局</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政府的统一部署，认真贯彻落实《中华人民共和国政府信息公开条例》，紧扣</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rPr>
        <w:t>工作实际，加强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政府信息公开专栏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门户网站信息公开</w:t>
      </w:r>
      <w:r>
        <w:rPr>
          <w:rFonts w:hint="eastAsia" w:ascii="仿宋_GB2312" w:hAnsi="仿宋_GB2312" w:eastAsia="仿宋_GB2312" w:cs="仿宋_GB2312"/>
          <w:sz w:val="32"/>
          <w:szCs w:val="32"/>
          <w:lang w:eastAsia="zh-CN"/>
        </w:rPr>
        <w:t>工作管理</w:t>
      </w:r>
      <w:r>
        <w:rPr>
          <w:rFonts w:hint="eastAsia" w:ascii="仿宋_GB2312" w:hAnsi="仿宋_GB2312" w:eastAsia="仿宋_GB2312" w:cs="仿宋_GB2312"/>
          <w:sz w:val="32"/>
          <w:szCs w:val="32"/>
        </w:rPr>
        <w:t>，优化政务服务机制，不断提升政府信息公开工作</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，实现政府信息公开水平</w:t>
      </w:r>
      <w:r>
        <w:rPr>
          <w:rFonts w:hint="eastAsia" w:ascii="仿宋_GB2312" w:hAnsi="仿宋_GB2312" w:eastAsia="仿宋_GB2312" w:cs="仿宋_GB2312"/>
          <w:sz w:val="32"/>
          <w:szCs w:val="32"/>
          <w:lang w:eastAsia="zh-CN"/>
        </w:rPr>
        <w:t>上台阶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主动公开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主动公开信息</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条，其中在政府门户网站公开43条，其他渠道公开</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（二）依申请公开办理情况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共受理政府信息公开申请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件，其中予以公开申请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件，部分公开0件，不予公开0件，无法提供</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件，不予处理0件，均在法定期限内予以答复。因政府信息公开被申请行政复议0件，因公民、法人和其他组织认为行政机关政府信息公开工作具体行政行为侵犯其合法权益，提起行政诉讼0件。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一是完善信息公开管理流程。建立政府信息公开工作全流程管理机制，安排专人负责信息公开传送和平台管理。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三是不断完善公开制度机制。2021年，全面落实“以公开为常态、不公开为例外”要求，主动、及时、规范、准确公开应当公开的政府信息，切实做到应公开尽公开，不断提升公开常态化、规范化、标准化水平。</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（四）平台建设情况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依托“政府网站”等平台发布信息，推动政务公开信息向不同群体精准推送，提升群众获取政府信息的便利度和幸福感。</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（五）监督保障方面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成立政务公开领导小组，明确专人负责政务公开工作。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8640" w:type="dxa"/>
        <w:jc w:val="center"/>
        <w:tblLayout w:type="fixed"/>
        <w:tblCellMar>
          <w:top w:w="0" w:type="dxa"/>
          <w:left w:w="0" w:type="dxa"/>
          <w:bottom w:w="0" w:type="dxa"/>
          <w:right w:w="0" w:type="dxa"/>
        </w:tblCellMar>
      </w:tblPr>
      <w:tblGrid>
        <w:gridCol w:w="2160"/>
        <w:gridCol w:w="2160"/>
        <w:gridCol w:w="2160"/>
        <w:gridCol w:w="2160"/>
      </w:tblGrid>
      <w:tr>
        <w:tblPrEx>
          <w:tblCellMar>
            <w:top w:w="0" w:type="dxa"/>
            <w:left w:w="0" w:type="dxa"/>
            <w:bottom w:w="0" w:type="dxa"/>
            <w:right w:w="0" w:type="dxa"/>
          </w:tblCellMar>
        </w:tblPrEx>
        <w:trPr>
          <w:trHeight w:val="506" w:hRule="atLeast"/>
          <w:jc w:val="center"/>
        </w:trPr>
        <w:tc>
          <w:tcPr>
            <w:tcW w:w="86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cs="宋体"/>
                <w:color w:val="000000"/>
                <w:kern w:val="0"/>
                <w:szCs w:val="21"/>
              </w:rPr>
              <w:t>第二十条第（一）项</w:t>
            </w:r>
          </w:p>
        </w:tc>
      </w:tr>
      <w:tr>
        <w:tblPrEx>
          <w:tblCellMar>
            <w:top w:w="0" w:type="dxa"/>
            <w:left w:w="0" w:type="dxa"/>
            <w:bottom w:w="0" w:type="dxa"/>
            <w:right w:w="0" w:type="dxa"/>
          </w:tblCellMar>
        </w:tblPrEx>
        <w:trPr>
          <w:trHeight w:val="886"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信息内容</w:t>
            </w:r>
          </w:p>
        </w:tc>
        <w:tc>
          <w:tcPr>
            <w:tcW w:w="21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本年制发件数</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本年废止件数</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现行有效件数</w:t>
            </w:r>
          </w:p>
        </w:tc>
      </w:tr>
      <w:tr>
        <w:tblPrEx>
          <w:tblCellMar>
            <w:top w:w="0" w:type="dxa"/>
            <w:left w:w="0" w:type="dxa"/>
            <w:bottom w:w="0" w:type="dxa"/>
            <w:right w:w="0" w:type="dxa"/>
          </w:tblCellMar>
        </w:tblPrEx>
        <w:trPr>
          <w:trHeight w:val="534"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规章</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0" w:type="dxa"/>
            <w:bottom w:w="0" w:type="dxa"/>
            <w:right w:w="0" w:type="dxa"/>
          </w:tblCellMar>
        </w:tblPrEx>
        <w:trPr>
          <w:trHeight w:val="483"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行政规范性文件</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0" w:type="dxa"/>
            <w:bottom w:w="0" w:type="dxa"/>
            <w:right w:w="0" w:type="dxa"/>
          </w:tblCellMar>
        </w:tblPrEx>
        <w:trPr>
          <w:trHeight w:val="492" w:hRule="atLeast"/>
          <w:jc w:val="center"/>
        </w:trPr>
        <w:tc>
          <w:tcPr>
            <w:tcW w:w="86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cs="宋体"/>
                <w:color w:val="000000"/>
                <w:kern w:val="0"/>
                <w:szCs w:val="21"/>
              </w:rPr>
              <w:t>第二十条第（五）项</w:t>
            </w:r>
          </w:p>
        </w:tc>
      </w:tr>
      <w:tr>
        <w:tblPrEx>
          <w:tblCellMar>
            <w:top w:w="0" w:type="dxa"/>
            <w:left w:w="0" w:type="dxa"/>
            <w:bottom w:w="0" w:type="dxa"/>
            <w:right w:w="0" w:type="dxa"/>
          </w:tblCellMar>
        </w:tblPrEx>
        <w:trPr>
          <w:trHeight w:val="643"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信息内容</w:t>
            </w:r>
          </w:p>
        </w:tc>
        <w:tc>
          <w:tcPr>
            <w:tcW w:w="6480"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本年处理决定数量</w:t>
            </w:r>
          </w:p>
        </w:tc>
      </w:tr>
      <w:tr>
        <w:tblPrEx>
          <w:tblCellMar>
            <w:top w:w="0" w:type="dxa"/>
            <w:left w:w="0" w:type="dxa"/>
            <w:bottom w:w="0" w:type="dxa"/>
            <w:right w:w="0" w:type="dxa"/>
          </w:tblCellMar>
        </w:tblPrEx>
        <w:trPr>
          <w:trHeight w:val="539"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行政许可</w:t>
            </w:r>
          </w:p>
        </w:tc>
        <w:tc>
          <w:tcPr>
            <w:tcW w:w="648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firstLine="2520" w:firstLineChars="1200"/>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0" w:type="dxa"/>
            <w:bottom w:w="0" w:type="dxa"/>
            <w:right w:w="0" w:type="dxa"/>
          </w:tblCellMar>
        </w:tblPrEx>
        <w:trPr>
          <w:trHeight w:val="560" w:hRule="atLeast"/>
          <w:jc w:val="center"/>
        </w:trPr>
        <w:tc>
          <w:tcPr>
            <w:tcW w:w="8640"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黑体" w:hAnsi="黑体" w:eastAsia="黑体" w:cs="宋体"/>
                <w:color w:val="000000"/>
                <w:kern w:val="0"/>
                <w:szCs w:val="21"/>
              </w:rPr>
              <w:t>第二十条第（六）项</w:t>
            </w:r>
          </w:p>
        </w:tc>
      </w:tr>
      <w:tr>
        <w:tblPrEx>
          <w:tblCellMar>
            <w:top w:w="0" w:type="dxa"/>
            <w:left w:w="0" w:type="dxa"/>
            <w:bottom w:w="0" w:type="dxa"/>
            <w:right w:w="0" w:type="dxa"/>
          </w:tblCellMar>
        </w:tblPrEx>
        <w:trPr>
          <w:trHeight w:val="419" w:hRule="atLeast"/>
          <w:jc w:val="center"/>
        </w:trPr>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信息内容</w:t>
            </w:r>
          </w:p>
        </w:tc>
        <w:tc>
          <w:tcPr>
            <w:tcW w:w="6480" w:type="dxa"/>
            <w:gridSpan w:val="3"/>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pPr>
            <w:r>
              <w:rPr>
                <w:rFonts w:hint="eastAsia" w:ascii="仿宋_GB2312" w:hAnsi="宋体" w:eastAsia="仿宋_GB2312" w:cs="宋体"/>
                <w:color w:val="000000"/>
                <w:kern w:val="0"/>
                <w:szCs w:val="21"/>
              </w:rPr>
              <w:t>本年处理决定数量</w:t>
            </w:r>
          </w:p>
        </w:tc>
      </w:tr>
      <w:tr>
        <w:tblPrEx>
          <w:tblCellMar>
            <w:top w:w="0" w:type="dxa"/>
            <w:left w:w="0" w:type="dxa"/>
            <w:bottom w:w="0" w:type="dxa"/>
            <w:right w:w="0" w:type="dxa"/>
          </w:tblCellMar>
        </w:tblPrEx>
        <w:trPr>
          <w:trHeight w:val="643"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行政处罚</w:t>
            </w:r>
          </w:p>
        </w:tc>
        <w:tc>
          <w:tcPr>
            <w:tcW w:w="6480"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firstLine="2520" w:firstLineChars="1200"/>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0" w:type="dxa"/>
            <w:bottom w:w="0" w:type="dxa"/>
            <w:right w:w="0" w:type="dxa"/>
          </w:tblCellMar>
        </w:tblPrEx>
        <w:trPr>
          <w:trHeight w:val="442"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行政强制</w:t>
            </w:r>
          </w:p>
        </w:tc>
        <w:tc>
          <w:tcPr>
            <w:tcW w:w="648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firstLine="2520" w:firstLineChars="1200"/>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0" w:type="dxa"/>
            <w:bottom w:w="0" w:type="dxa"/>
            <w:right w:w="0" w:type="dxa"/>
          </w:tblCellMar>
        </w:tblPrEx>
        <w:trPr>
          <w:trHeight w:val="422" w:hRule="atLeast"/>
          <w:jc w:val="center"/>
        </w:trPr>
        <w:tc>
          <w:tcPr>
            <w:tcW w:w="8640"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黑体" w:hAnsi="黑体" w:eastAsia="黑体" w:cs="宋体"/>
                <w:color w:val="000000"/>
                <w:kern w:val="0"/>
                <w:szCs w:val="21"/>
              </w:rPr>
              <w:t>第二十条第（八）项</w:t>
            </w:r>
          </w:p>
        </w:tc>
      </w:tr>
      <w:tr>
        <w:tblPrEx>
          <w:tblCellMar>
            <w:top w:w="0" w:type="dxa"/>
            <w:left w:w="0" w:type="dxa"/>
            <w:bottom w:w="0" w:type="dxa"/>
            <w:right w:w="0" w:type="dxa"/>
          </w:tblCellMar>
        </w:tblPrEx>
        <w:trPr>
          <w:trHeight w:val="486" w:hRule="atLeast"/>
          <w:jc w:val="center"/>
        </w:trPr>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信息内容</w:t>
            </w:r>
          </w:p>
        </w:tc>
        <w:tc>
          <w:tcPr>
            <w:tcW w:w="6480" w:type="dxa"/>
            <w:gridSpan w:val="3"/>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pPr>
            <w:r>
              <w:rPr>
                <w:rFonts w:hint="eastAsia" w:ascii="仿宋_GB2312" w:hAnsi="宋体" w:eastAsia="仿宋_GB2312" w:cs="宋体"/>
                <w:color w:val="000000"/>
                <w:kern w:val="0"/>
                <w:szCs w:val="21"/>
              </w:rPr>
              <w:t>本年收费金额（单位：万元）</w:t>
            </w:r>
          </w:p>
        </w:tc>
      </w:tr>
      <w:tr>
        <w:tblPrEx>
          <w:tblCellMar>
            <w:top w:w="0" w:type="dxa"/>
            <w:left w:w="0" w:type="dxa"/>
            <w:bottom w:w="0" w:type="dxa"/>
            <w:right w:w="0" w:type="dxa"/>
          </w:tblCellMar>
        </w:tblPrEx>
        <w:trPr>
          <w:trHeight w:val="327"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行政事业性收费</w:t>
            </w:r>
          </w:p>
        </w:tc>
        <w:tc>
          <w:tcPr>
            <w:tcW w:w="6480"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0</w:t>
            </w:r>
          </w:p>
        </w:tc>
      </w:tr>
      <w:tr>
        <w:tblPrEx>
          <w:tblCellMar>
            <w:top w:w="0" w:type="dxa"/>
            <w:left w:w="0" w:type="dxa"/>
            <w:bottom w:w="0" w:type="dxa"/>
            <w:right w:w="0" w:type="dxa"/>
          </w:tblCellMar>
        </w:tblPrEx>
        <w:trPr>
          <w:trHeight w:val="561" w:hRule="atLeast"/>
          <w:jc w:val="center"/>
        </w:trPr>
        <w:tc>
          <w:tcPr>
            <w:tcW w:w="8640" w:type="dxa"/>
            <w:gridSpan w:val="4"/>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黑体" w:hAnsi="黑体" w:eastAsia="黑体" w:cs="宋体"/>
                <w:color w:val="000000"/>
                <w:kern w:val="0"/>
                <w:szCs w:val="21"/>
              </w:rPr>
              <w:t>第二十条第（一）项</w:t>
            </w:r>
          </w:p>
        </w:tc>
      </w:tr>
      <w:tr>
        <w:tblPrEx>
          <w:tblCellMar>
            <w:top w:w="0" w:type="dxa"/>
            <w:left w:w="0" w:type="dxa"/>
            <w:bottom w:w="0" w:type="dxa"/>
            <w:right w:w="0" w:type="dxa"/>
          </w:tblCellMar>
        </w:tblPrEx>
        <w:trPr>
          <w:trHeight w:val="488" w:hRule="atLeast"/>
          <w:jc w:val="center"/>
        </w:trPr>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信息内容</w:t>
            </w:r>
          </w:p>
        </w:tc>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pPr>
            <w:r>
              <w:rPr>
                <w:rFonts w:hint="eastAsia" w:ascii="仿宋_GB2312" w:hAnsi="宋体" w:eastAsia="仿宋_GB2312" w:cs="宋体"/>
                <w:color w:val="000000"/>
                <w:kern w:val="0"/>
                <w:szCs w:val="21"/>
              </w:rPr>
              <w:t>本年制发件数</w:t>
            </w:r>
          </w:p>
        </w:tc>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pPr>
            <w:r>
              <w:rPr>
                <w:rFonts w:hint="eastAsia" w:ascii="仿宋_GB2312" w:hAnsi="宋体" w:eastAsia="仿宋_GB2312" w:cs="宋体"/>
                <w:color w:val="000000"/>
                <w:kern w:val="0"/>
                <w:szCs w:val="21"/>
              </w:rPr>
              <w:t>本年废止件数</w:t>
            </w:r>
          </w:p>
        </w:tc>
        <w:tc>
          <w:tcPr>
            <w:tcW w:w="2160" w:type="dxa"/>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pPr>
            <w:r>
              <w:rPr>
                <w:rFonts w:hint="eastAsia" w:ascii="仿宋_GB2312" w:hAnsi="宋体" w:eastAsia="仿宋_GB2312" w:cs="宋体"/>
                <w:color w:val="000000"/>
                <w:kern w:val="0"/>
                <w:szCs w:val="21"/>
              </w:rPr>
              <w:t>现行有效件数</w:t>
            </w:r>
          </w:p>
        </w:tc>
      </w:tr>
      <w:tr>
        <w:tblPrEx>
          <w:tblCellMar>
            <w:top w:w="0" w:type="dxa"/>
            <w:left w:w="0" w:type="dxa"/>
            <w:bottom w:w="0" w:type="dxa"/>
            <w:right w:w="0" w:type="dxa"/>
          </w:tblCellMar>
        </w:tblPrEx>
        <w:trPr>
          <w:trHeight w:val="595"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规章</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0" w:type="dxa"/>
            <w:bottom w:w="0" w:type="dxa"/>
            <w:right w:w="0" w:type="dxa"/>
          </w:tblCellMar>
        </w:tblPrEx>
        <w:trPr>
          <w:trHeight w:val="569" w:hRule="atLeast"/>
          <w:jc w:val="center"/>
        </w:trPr>
        <w:tc>
          <w:tcPr>
            <w:tcW w:w="216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Theme="minorEastAsia" w:hAnsiTheme="minorEastAsia" w:eastAsiaTheme="minorEastAsia" w:cstheme="minorEastAsia"/>
                <w:kern w:val="0"/>
                <w:sz w:val="24"/>
                <w:szCs w:val="24"/>
              </w:rPr>
            </w:pPr>
            <w:r>
              <w:rPr>
                <w:rFonts w:hint="eastAsia" w:ascii="仿宋_GB2312" w:hAnsi="宋体" w:eastAsia="仿宋_GB2312" w:cs="宋体"/>
                <w:color w:val="000000"/>
                <w:kern w:val="0"/>
                <w:szCs w:val="21"/>
              </w:rPr>
              <w:t>行政规范性文件</w:t>
            </w:r>
          </w:p>
        </w:tc>
        <w:tc>
          <w:tcPr>
            <w:tcW w:w="216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asciiTheme="minorEastAsia" w:hAnsiTheme="minorEastAsia" w:cstheme="minorEastAsia"/>
                <w:kern w:val="0"/>
                <w:sz w:val="24"/>
                <w:szCs w:val="24"/>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160" w:type="dxa"/>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left"/>
              <w:textAlignment w:val="auto"/>
              <w:rPr>
                <w:rFonts w:hint="eastAsia" w:eastAsia="仿宋_GB2312"/>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 w:hAnsi="仿宋" w:eastAsia="仿宋" w:cs="仿宋"/>
          <w:b/>
          <w:bCs/>
          <w:i w:val="0"/>
          <w:iCs w:val="0"/>
          <w:caps w:val="0"/>
          <w:color w:val="000000"/>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黑体" w:hAnsi="黑体" w:eastAsia="黑体" w:cs="黑体"/>
          <w:b/>
          <w:bCs/>
          <w:i w:val="0"/>
          <w:iCs w:val="0"/>
          <w:caps w:val="0"/>
          <w:color w:val="000000"/>
          <w:spacing w:val="0"/>
          <w:kern w:val="0"/>
          <w:sz w:val="32"/>
          <w:szCs w:val="32"/>
          <w:shd w:val="clear" w:fill="FFFFFF"/>
          <w:lang w:val="en-US" w:eastAsia="zh-CN" w:bidi="ar"/>
        </w:rPr>
      </w:pPr>
      <w:r>
        <w:rPr>
          <w:rFonts w:hint="eastAsia" w:ascii="黑体" w:hAnsi="黑体" w:eastAsia="黑体" w:cs="黑体"/>
          <w:b/>
          <w:bCs/>
          <w:i w:val="0"/>
          <w:iCs w:val="0"/>
          <w:caps w:val="0"/>
          <w:color w:val="000000"/>
          <w:spacing w:val="0"/>
          <w:kern w:val="0"/>
          <w:sz w:val="32"/>
          <w:szCs w:val="32"/>
          <w:shd w:val="clear" w:fill="FFFFFF"/>
          <w:lang w:val="en-US" w:eastAsia="zh-CN" w:bidi="ar"/>
        </w:rPr>
        <w:t>三、收到和处理政府信息公开申请情况</w:t>
      </w:r>
    </w:p>
    <w:tbl>
      <w:tblPr>
        <w:tblStyle w:val="6"/>
        <w:tblW w:w="9135" w:type="dxa"/>
        <w:jc w:val="center"/>
        <w:tblLayout w:type="autofit"/>
        <w:tblCellMar>
          <w:top w:w="0" w:type="dxa"/>
          <w:left w:w="0" w:type="dxa"/>
          <w:bottom w:w="0" w:type="dxa"/>
          <w:right w:w="0" w:type="dxa"/>
        </w:tblCellMar>
      </w:tblPr>
      <w:tblGrid>
        <w:gridCol w:w="636"/>
        <w:gridCol w:w="1236"/>
        <w:gridCol w:w="2090"/>
        <w:gridCol w:w="871"/>
        <w:gridCol w:w="599"/>
        <w:gridCol w:w="599"/>
        <w:gridCol w:w="765"/>
        <w:gridCol w:w="742"/>
        <w:gridCol w:w="601"/>
        <w:gridCol w:w="996"/>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楷体_GB2312" w:hAnsi="黑体" w:eastAsia="楷体_GB2312"/>
                <w:kern w:val="0"/>
                <w:szCs w:val="21"/>
              </w:rPr>
              <w:t>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p>
        </w:tc>
        <w:tc>
          <w:tcPr>
            <w:tcW w:w="9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自然人</w:t>
            </w:r>
          </w:p>
        </w:tc>
        <w:tc>
          <w:tcPr>
            <w:tcW w:w="34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法人或其他组织</w:t>
            </w:r>
          </w:p>
        </w:tc>
        <w:tc>
          <w:tcPr>
            <w:tcW w:w="94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p>
        </w:tc>
        <w:tc>
          <w:tcPr>
            <w:tcW w:w="91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06" w:leftChars="-51" w:right="-107" w:rightChars="-51" w:hanging="1" w:firstLineChars="0"/>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商业企业</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07" w:leftChars="-51" w:right="-107" w:rightChars="-51"/>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科研机构</w:t>
            </w:r>
          </w:p>
        </w:tc>
        <w:tc>
          <w:tcPr>
            <w:tcW w:w="8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07" w:leftChars="-51" w:right="-107" w:rightChars="-51"/>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社会公益组织</w:t>
            </w:r>
          </w:p>
        </w:tc>
        <w:tc>
          <w:tcPr>
            <w:tcW w:w="7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06" w:leftChars="-51" w:right="-107" w:rightChars="-51" w:hanging="1" w:firstLineChars="0"/>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法律服务机构</w:t>
            </w:r>
          </w:p>
        </w:tc>
        <w:tc>
          <w:tcPr>
            <w:tcW w:w="6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63" w:leftChars="-30" w:right="-134" w:rightChars="-64"/>
              <w:jc w:val="center"/>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其他</w:t>
            </w:r>
          </w:p>
        </w:tc>
        <w:tc>
          <w:tcPr>
            <w:tcW w:w="940"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一、本年新收政府信息公开申请数量</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二、上年结转政府信息公开申请数量</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346" w:hRule="atLeast"/>
          <w:jc w:val="center"/>
        </w:trPr>
        <w:tc>
          <w:tcPr>
            <w:tcW w:w="3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三、本年度办理结果</w:t>
            </w:r>
          </w:p>
        </w:tc>
        <w:tc>
          <w:tcPr>
            <w:tcW w:w="35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（一）予以公开</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710"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350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（二）部分公开（区分处理的，只计这一情形，不计其他情形）</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07" w:leftChars="-51"/>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（三）不予公开</w:t>
            </w: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1.属于国家秘密</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695"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2.其他法律行政法规禁止公开</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3.危及“三安全一稳定”</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46"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4.保护第三方合法权益</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695"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5.属于三类内部事务信息</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6.属于四类过程性信息</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46"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7.属于行政执法案卷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8.属于行政查询事项</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710"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07" w:leftChars="-51"/>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（四）无法提供</w:t>
            </w: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1.本机关不掌握相关政府信息</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1</w:t>
            </w:r>
          </w:p>
        </w:tc>
      </w:tr>
      <w:tr>
        <w:tblPrEx>
          <w:tblCellMar>
            <w:top w:w="0" w:type="dxa"/>
            <w:left w:w="0" w:type="dxa"/>
            <w:bottom w:w="0" w:type="dxa"/>
            <w:right w:w="0" w:type="dxa"/>
          </w:tblCellMar>
        </w:tblPrEx>
        <w:trPr>
          <w:trHeight w:val="695"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ind w:left="-107" w:leftChars="-51"/>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2.没有现成信息需要另行制作</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710"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ind w:left="-107" w:leftChars="-51"/>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3.补正后申请内容仍不明确</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46"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07" w:leftChars="-51"/>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（五）不予处理</w:t>
            </w: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1.信访举报投诉类申请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2.重复申请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3.要求提供公开出版物</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710"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4.无正当理由大量反复申请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695"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beforeAutospacing="0" w:line="440" w:lineRule="exact"/>
              <w:ind w:firstLine="210" w:firstLineChars="100"/>
              <w:textAlignment w:val="auto"/>
              <w:rPr>
                <w:rFonts w:hint="eastAsia" w:asciiTheme="minorEastAsia" w:hAnsiTheme="minorEastAsia" w:eastAsiaTheme="minorEastAsia" w:cstheme="minorEastAsia"/>
                <w:kern w:val="0"/>
                <w:sz w:val="24"/>
                <w:szCs w:val="24"/>
              </w:rPr>
            </w:pPr>
            <w:r>
              <w:rPr>
                <w:rFonts w:hint="eastAsia" w:ascii="仿宋_GB2312" w:hAnsi="黑体" w:eastAsia="仿宋_GB2312"/>
                <w:kern w:val="0"/>
                <w:szCs w:val="21"/>
              </w:rPr>
              <w:t>出具已获取信息</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r>
              <w:rPr>
                <w:rFonts w:hint="eastAsia" w:ascii="黑体" w:hAnsi="黑体" w:eastAsia="黑体"/>
                <w:kern w:val="0"/>
                <w:szCs w:val="21"/>
              </w:rPr>
              <w:t>（六）其他处理</w:t>
            </w: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pPr>
            <w:r>
              <w:rPr>
                <w:rFonts w:hint="eastAsia" w:ascii="仿宋_GB2312" w:hAnsi="楷体" w:eastAsia="仿宋_GB2312"/>
              </w:rPr>
              <w:t>1.申请人无正当理由逾期不补正、行政机关不再处理其政府信息公开申请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r>
        <w:tblPrEx>
          <w:tblCellMar>
            <w:top w:w="0" w:type="dxa"/>
            <w:left w:w="0" w:type="dxa"/>
            <w:bottom w:w="0" w:type="dxa"/>
            <w:right w:w="0" w:type="dxa"/>
          </w:tblCellMar>
        </w:tblPrEx>
        <w:trPr>
          <w:trHeight w:val="363" w:hRule="atLeast"/>
          <w:jc w:val="center"/>
        </w:trPr>
        <w:tc>
          <w:tcPr>
            <w:tcW w:w="311"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1274"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223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pPr>
            <w:r>
              <w:rPr>
                <w:rFonts w:hint="eastAsia" w:ascii="仿宋_GB2312" w:hAnsi="楷体" w:eastAsia="仿宋_GB2312"/>
              </w:rPr>
              <w:t>2.申请人逾期未按收费通知要求缴纳费用、行政机关不再处理其政府信息公开申请</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r>
        <w:tblPrEx>
          <w:tblCellMar>
            <w:top w:w="0" w:type="dxa"/>
            <w:left w:w="0" w:type="dxa"/>
            <w:bottom w:w="0" w:type="dxa"/>
            <w:right w:w="0" w:type="dxa"/>
          </w:tblCellMar>
        </w:tblPrEx>
        <w:trPr>
          <w:trHeight w:val="485" w:hRule="atLeast"/>
          <w:jc w:val="center"/>
        </w:trPr>
        <w:tc>
          <w:tcPr>
            <w:tcW w:w="31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color w:val="000000"/>
                <w:kern w:val="0"/>
                <w:sz w:val="24"/>
                <w:szCs w:val="24"/>
              </w:rPr>
            </w:pPr>
          </w:p>
        </w:tc>
        <w:tc>
          <w:tcPr>
            <w:tcW w:w="1274"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textAlignment w:val="auto"/>
            </w:pPr>
          </w:p>
        </w:tc>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440" w:lineRule="exact"/>
              <w:textAlignment w:val="auto"/>
            </w:pPr>
            <w:r>
              <w:rPr>
                <w:rFonts w:hint="eastAsia" w:ascii="仿宋_GB2312" w:hAnsi="楷体" w:eastAsia="仿宋_GB2312"/>
              </w:rPr>
              <w:t>3.其他</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8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c>
          <w:tcPr>
            <w:tcW w:w="9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bidi="ar-SA"/>
              </w:rPr>
              <w:t>0</w:t>
            </w:r>
          </w:p>
        </w:tc>
      </w:tr>
    </w:tbl>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黑体" w:hAnsi="黑体" w:eastAsia="黑体" w:cs="黑体"/>
          <w:b/>
          <w:bCs/>
          <w:color w:val="00000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黑体" w:hAnsi="黑体" w:eastAsia="黑体" w:cs="黑体"/>
          <w:b/>
          <w:bCs/>
          <w:color w:val="00000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黑体" w:hAnsi="黑体" w:eastAsia="黑体" w:cs="黑体"/>
          <w:b/>
          <w:bCs/>
          <w:color w:val="000000"/>
          <w:kern w:val="0"/>
          <w:sz w:val="32"/>
          <w:szCs w:val="32"/>
          <w:shd w:val="clear" w:fill="FFFFFF"/>
          <w:lang w:val="en-US" w:eastAsia="zh-CN" w:bidi="ar"/>
        </w:rPr>
      </w:pPr>
      <w:r>
        <w:rPr>
          <w:rFonts w:hint="eastAsia" w:ascii="黑体" w:hAnsi="黑体" w:eastAsia="黑体" w:cs="黑体"/>
          <w:b/>
          <w:bCs/>
          <w:color w:val="000000"/>
          <w:kern w:val="0"/>
          <w:sz w:val="32"/>
          <w:szCs w:val="32"/>
          <w:shd w:val="clear" w:fill="FFFFFF"/>
          <w:lang w:val="en-US" w:eastAsia="zh-CN" w:bidi="ar"/>
        </w:rPr>
        <w:t>四、因政府信息公开工作被申请行政复议、提起行政诉讼情况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beforeAutospacing="0" w:line="560" w:lineRule="exact"/>
              <w:ind w:left="-149" w:leftChars="-71" w:right="-170" w:rightChars="-81"/>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43" w:leftChars="-21" w:right="-132" w:rightChars="-63" w:hanging="1" w:firstLineChars="0"/>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82" w:leftChars="-39" w:right="-97" w:rightChars="-46"/>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beforeAutospacing="0" w:line="560" w:lineRule="exact"/>
              <w:ind w:left="-118" w:leftChars="-56" w:right="-118" w:rightChars="-56"/>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604" w:type="dxa"/>
            <w:vMerge w:val="continue"/>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Theme="minorEastAsia" w:hAnsiTheme="minorEastAsia" w:eastAsiaTheme="minorEastAsia" w:cstheme="minorEastAsia"/>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05" w:leftChars="-50" w:right="-126" w:rightChars="-60"/>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86" w:leftChars="-41" w:right="-88" w:rightChars="-42"/>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beforeAutospacing="0" w:line="560" w:lineRule="exact"/>
              <w:ind w:left="-126" w:leftChars="-60" w:right="-136" w:rightChars="-65"/>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beforeAutospacing="0" w:line="560" w:lineRule="exact"/>
              <w:ind w:left="-164" w:leftChars="-78" w:right="-153" w:rightChars="-73"/>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99" w:leftChars="-47" w:right="-78" w:rightChars="-37"/>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beforeAutospacing="0" w:line="560" w:lineRule="exact"/>
              <w:ind w:left="-136" w:leftChars="-65" w:right="-124" w:rightChars="-59"/>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beforeAutospacing="0" w:line="560" w:lineRule="exact"/>
              <w:ind w:left="-173" w:leftChars="-83" w:right="-134" w:rightChars="-64" w:hanging="1" w:firstLineChars="0"/>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ind w:left="-67" w:leftChars="-33" w:right="-105" w:rightChars="-50" w:hanging="2" w:hangingChars="1"/>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Theme="minorEastAsia" w:hAnsiTheme="minorEastAsia" w:eastAsiaTheme="minorEastAsia" w:cstheme="minorEastAsia"/>
                <w:kern w:val="0"/>
                <w:sz w:val="24"/>
                <w:szCs w:val="24"/>
              </w:rPr>
            </w:pPr>
            <w:r>
              <w:rPr>
                <w:rFonts w:ascii="黑体" w:hAnsi="黑体" w:eastAsia="黑体"/>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180" w:line="560" w:lineRule="exact"/>
              <w:jc w:val="center"/>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0</w:t>
            </w:r>
          </w:p>
        </w:tc>
      </w:tr>
    </w:tbl>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（一）2021年存在的主要问题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信息公开更新有待加强。存在公开内容和公开形式还不够丰富、重点领域信息公开不够全面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公开工作人员的业务素质和能力有待进一步提高等问题。</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（二）改进措施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进一步健全完善政府信息公开工作制度及工作机制，加强对重点领域和重要行业的信息公开，主要包括重大建设项目、价格和收费等方面的信息公开。同时围绕社会广泛关注、事关群众切身利益的重大事项，不断扩大主动公开信息量，及时公开相关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业务能力</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政务公开</w:t>
      </w:r>
      <w:r>
        <w:rPr>
          <w:rFonts w:hint="eastAsia" w:ascii="仿宋_GB2312" w:hAnsi="仿宋_GB2312" w:eastAsia="仿宋_GB2312" w:cs="仿宋_GB2312"/>
          <w:sz w:val="32"/>
          <w:szCs w:val="32"/>
        </w:rPr>
        <w:t>工作人员业务素质能力提升，加大对从事政府信息公开工作人员的培训力度，进一步研究解决政府信息公开工作中遇到的困难和问题。</w:t>
      </w:r>
      <w:r>
        <w:rPr>
          <w:rFonts w:hint="eastAsia" w:ascii="仿宋_GB2312" w:hAnsi="仿宋_GB2312" w:eastAsia="仿宋_GB2312" w:cs="仿宋_GB2312"/>
          <w:sz w:val="32"/>
          <w:szCs w:val="32"/>
          <w:lang w:val="en-US" w:eastAsia="zh-CN"/>
        </w:rPr>
        <w:t>同时借鉴其他地区</w:t>
      </w:r>
      <w:r>
        <w:rPr>
          <w:rFonts w:hint="eastAsia" w:ascii="仿宋_GB2312" w:hAnsi="仿宋_GB2312" w:eastAsia="仿宋_GB2312" w:cs="仿宋_GB2312"/>
          <w:sz w:val="32"/>
          <w:szCs w:val="32"/>
        </w:rPr>
        <w:t>优秀网站做法，对标细照，提升办网站能力水平。</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其他需要报告的事项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无其他需要报告事项。</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台儿庄区发展和改革局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2022年1月13日</w:t>
      </w:r>
    </w:p>
    <w:p>
      <w:pPr>
        <w:pStyle w:val="5"/>
        <w:keepNext w:val="0"/>
        <w:keepLines w:val="0"/>
        <w:pageBreakBefore w:val="0"/>
        <w:widowControl/>
        <w:suppressLineNumbers w:val="0"/>
        <w:kinsoku/>
        <w:wordWrap/>
        <w:overflowPunct/>
        <w:topLinePunct w:val="0"/>
        <w:autoSpaceDE/>
        <w:autoSpaceDN/>
        <w:bidi w:val="0"/>
        <w:adjustRightInd/>
        <w:snapToGrid/>
        <w:spacing w:beforeAutospacing="0" w:line="560" w:lineRule="exact"/>
        <w:textAlignment w:val="auto"/>
      </w:pPr>
    </w:p>
    <w:p>
      <w:pPr>
        <w:keepNext w:val="0"/>
        <w:keepLines w:val="0"/>
        <w:pageBreakBefore w:val="0"/>
        <w:kinsoku/>
        <w:wordWrap/>
        <w:overflowPunct/>
        <w:topLinePunct w:val="0"/>
        <w:autoSpaceDE/>
        <w:autoSpaceDN/>
        <w:bidi w:val="0"/>
        <w:adjustRightInd/>
        <w:snapToGrid/>
        <w:spacing w:before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5C97"/>
    <w:rsid w:val="00F612EE"/>
    <w:rsid w:val="05B70D5B"/>
    <w:rsid w:val="06764670"/>
    <w:rsid w:val="07CC1A71"/>
    <w:rsid w:val="0B9D7AD7"/>
    <w:rsid w:val="0D0B3D64"/>
    <w:rsid w:val="0D2C3CDA"/>
    <w:rsid w:val="0D6E670D"/>
    <w:rsid w:val="0F076309"/>
    <w:rsid w:val="0F0C1914"/>
    <w:rsid w:val="0F2D4BEE"/>
    <w:rsid w:val="1C69015F"/>
    <w:rsid w:val="1F41758B"/>
    <w:rsid w:val="1FE7674F"/>
    <w:rsid w:val="235F55F5"/>
    <w:rsid w:val="267905FE"/>
    <w:rsid w:val="26CB1A16"/>
    <w:rsid w:val="296879F1"/>
    <w:rsid w:val="29F37FE0"/>
    <w:rsid w:val="2A13567C"/>
    <w:rsid w:val="2BAA42F0"/>
    <w:rsid w:val="2BD31A99"/>
    <w:rsid w:val="2DAE0720"/>
    <w:rsid w:val="32C40273"/>
    <w:rsid w:val="37A72370"/>
    <w:rsid w:val="384358B1"/>
    <w:rsid w:val="397C5FEC"/>
    <w:rsid w:val="3C5D56C4"/>
    <w:rsid w:val="3EA16394"/>
    <w:rsid w:val="3EAF1EF2"/>
    <w:rsid w:val="429103F6"/>
    <w:rsid w:val="473B2B49"/>
    <w:rsid w:val="4A557CA9"/>
    <w:rsid w:val="4C96649F"/>
    <w:rsid w:val="4D454A86"/>
    <w:rsid w:val="4E361CBB"/>
    <w:rsid w:val="50542768"/>
    <w:rsid w:val="51A84BCE"/>
    <w:rsid w:val="559B088A"/>
    <w:rsid w:val="55E62245"/>
    <w:rsid w:val="56877F6E"/>
    <w:rsid w:val="56883F77"/>
    <w:rsid w:val="586236D9"/>
    <w:rsid w:val="595C637A"/>
    <w:rsid w:val="5ADA7E9F"/>
    <w:rsid w:val="5C576978"/>
    <w:rsid w:val="5CFD21A5"/>
    <w:rsid w:val="5E4A3520"/>
    <w:rsid w:val="612C0D28"/>
    <w:rsid w:val="6254180C"/>
    <w:rsid w:val="63162D13"/>
    <w:rsid w:val="63163745"/>
    <w:rsid w:val="6361115D"/>
    <w:rsid w:val="64427765"/>
    <w:rsid w:val="651D4048"/>
    <w:rsid w:val="675C1917"/>
    <w:rsid w:val="68555008"/>
    <w:rsid w:val="6ABC136F"/>
    <w:rsid w:val="6C10555B"/>
    <w:rsid w:val="6C750968"/>
    <w:rsid w:val="704836BF"/>
    <w:rsid w:val="7055351C"/>
    <w:rsid w:val="7496772A"/>
    <w:rsid w:val="7563211A"/>
    <w:rsid w:val="78595DBA"/>
    <w:rsid w:val="798C015E"/>
    <w:rsid w:val="7A4F3DEA"/>
    <w:rsid w:val="7CE8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2021-05-25T02:48:00Z</dcterms:created>
  <dc:creator>Administrator</dc:creator>
  <cp:lastModifiedBy>夕阳无限好丶</cp:lastModifiedBy>
  <dcterms:modified xsi:type="dcterms:W3CDTF">2022-01-25T06:55:08Z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091AED97789B482180C2EEF474BFC514</vt:lpwstr>
  </property>
</Properties>
</file>