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napToGrid w:val="0"/>
        <w:spacing w:before="0" w:after="0" w:line="240" w:lineRule="auto"/>
        <w:rPr>
          <w:rFonts w:hint="eastAsia" w:ascii="方正小标宋简体" w:eastAsia="方正小标宋简体"/>
          <w:color w:val="FF0000"/>
          <w:spacing w:val="0"/>
          <w:w w:val="42"/>
          <w:sz w:val="140"/>
          <w:szCs w:val="140"/>
        </w:rPr>
      </w:pPr>
      <w:r>
        <w:rPr>
          <w:rFonts w:hint="eastAsia" w:ascii="方正小标宋简体" w:eastAsia="方正小标宋简体"/>
          <w:color w:val="FF0000"/>
          <w:spacing w:val="0"/>
          <w:w w:val="42"/>
          <w:sz w:val="140"/>
          <w:szCs w:val="140"/>
          <w:lang w:val="en-US" w:eastAsia="zh-CN"/>
        </w:rPr>
        <w:t>枣庄市台儿庄</w:t>
      </w:r>
      <w:r>
        <w:rPr>
          <w:rFonts w:hint="eastAsia" w:ascii="方正小标宋简体" w:eastAsia="方正小标宋简体"/>
          <w:color w:val="FF0000"/>
          <w:spacing w:val="0"/>
          <w:w w:val="42"/>
          <w:sz w:val="140"/>
          <w:szCs w:val="140"/>
          <w:lang w:eastAsia="zh-CN"/>
        </w:rPr>
        <w:t>区</w:t>
      </w:r>
      <w:r>
        <w:rPr>
          <w:rFonts w:hint="eastAsia" w:ascii="方正小标宋简体" w:eastAsia="方正小标宋简体"/>
          <w:color w:val="FF0000"/>
          <w:spacing w:val="0"/>
          <w:w w:val="42"/>
          <w:sz w:val="140"/>
          <w:szCs w:val="140"/>
        </w:rPr>
        <w:t>行政审批服务局</w:t>
      </w:r>
    </w:p>
    <w:p>
      <w:pPr>
        <w:spacing w:after="0" w:line="400" w:lineRule="exact"/>
        <w:jc w:val="both"/>
        <w:rPr>
          <w:rFonts w:hint="eastAsia" w:ascii="仿宋_GB2312" w:hAnsi="仿宋" w:eastAsia="仿宋_GB2312"/>
          <w:kern w:val="32"/>
          <w:sz w:val="32"/>
          <w:szCs w:val="32"/>
        </w:rPr>
      </w:pPr>
    </w:p>
    <w:p>
      <w:pPr>
        <w:spacing w:after="0" w:line="560" w:lineRule="exact"/>
        <w:jc w:val="center"/>
        <w:rPr>
          <w:rFonts w:hint="eastAsia" w:ascii="仿宋_GB2312" w:hAnsi="仿宋" w:eastAsia="仿宋_GB2312"/>
          <w:color w:val="auto"/>
          <w:kern w:val="32"/>
          <w:sz w:val="32"/>
          <w:szCs w:val="32"/>
          <w:lang w:eastAsia="zh-CN"/>
        </w:rPr>
      </w:pPr>
    </w:p>
    <w:p>
      <w:pPr>
        <w:spacing w:after="0" w:line="560" w:lineRule="exact"/>
        <w:jc w:val="both"/>
        <w:rPr>
          <w:rFonts w:hint="eastAsia" w:ascii="仿宋_GB2312" w:hAnsi="仿宋" w:eastAsia="仿宋_GB2312"/>
          <w:color w:val="auto"/>
          <w:kern w:val="32"/>
          <w:sz w:val="32"/>
          <w:szCs w:val="32"/>
          <w:lang w:val="en-US" w:eastAsia="zh-CN"/>
        </w:rPr>
      </w:pPr>
      <w:r>
        <w:rPr>
          <w:rFonts w:hint="eastAsia" w:ascii="仿宋_GB2312" w:hAnsi="仿宋" w:eastAsia="仿宋_GB2312"/>
          <w:color w:val="auto"/>
          <w:kern w:val="32"/>
          <w:sz w:val="32"/>
          <w:szCs w:val="32"/>
          <w:lang w:val="en-US" w:eastAsia="zh-CN"/>
        </w:rPr>
        <w:t>台</w:t>
      </w:r>
      <w:r>
        <w:rPr>
          <w:rFonts w:hint="eastAsia" w:ascii="仿宋_GB2312" w:hAnsi="仿宋" w:eastAsia="仿宋_GB2312"/>
          <w:color w:val="auto"/>
          <w:kern w:val="32"/>
          <w:sz w:val="32"/>
          <w:szCs w:val="32"/>
          <w:lang w:eastAsia="zh-CN"/>
        </w:rPr>
        <w:t>行</w:t>
      </w:r>
      <w:r>
        <w:rPr>
          <w:rFonts w:hint="eastAsia" w:ascii="仿宋_GB2312" w:hAnsi="仿宋" w:eastAsia="仿宋_GB2312"/>
          <w:color w:val="auto"/>
          <w:kern w:val="32"/>
          <w:sz w:val="32"/>
          <w:szCs w:val="32"/>
        </w:rPr>
        <w:t>审〔</w:t>
      </w:r>
      <w:r>
        <w:rPr>
          <w:rFonts w:hint="eastAsia" w:ascii="仿宋_GB2312" w:hAnsi="仿宋" w:eastAsia="仿宋_GB2312"/>
          <w:color w:val="auto"/>
          <w:kern w:val="32"/>
          <w:sz w:val="32"/>
          <w:szCs w:val="32"/>
          <w:lang w:val="en-US" w:eastAsia="zh-CN"/>
        </w:rPr>
        <w:t xml:space="preserve"> 2023 </w:t>
      </w:r>
      <w:r>
        <w:rPr>
          <w:rFonts w:hint="eastAsia" w:ascii="仿宋_GB2312" w:hAnsi="仿宋" w:eastAsia="仿宋_GB2312"/>
          <w:color w:val="auto"/>
          <w:kern w:val="32"/>
          <w:sz w:val="32"/>
          <w:szCs w:val="32"/>
        </w:rPr>
        <w:t>〕</w:t>
      </w:r>
      <w:r>
        <w:rPr>
          <w:rFonts w:hint="eastAsia" w:ascii="仿宋_GB2312" w:hAnsi="仿宋" w:eastAsia="仿宋_GB2312"/>
          <w:color w:val="auto"/>
          <w:kern w:val="32"/>
          <w:sz w:val="32"/>
          <w:szCs w:val="32"/>
          <w:lang w:val="en-US" w:eastAsia="zh-CN"/>
        </w:rPr>
        <w:t>1</w:t>
      </w:r>
      <w:r>
        <w:rPr>
          <w:rFonts w:hint="eastAsia" w:ascii="仿宋_GB2312" w:hAnsi="仿宋" w:eastAsia="仿宋_GB2312"/>
          <w:color w:val="auto"/>
          <w:kern w:val="32"/>
          <w:sz w:val="32"/>
          <w:szCs w:val="32"/>
        </w:rPr>
        <w:t>号</w:t>
      </w:r>
      <w:r>
        <w:rPr>
          <w:rFonts w:hint="eastAsia" w:ascii="仿宋_GB2312" w:hAnsi="仿宋" w:eastAsia="仿宋_GB2312"/>
          <w:color w:val="auto"/>
          <w:kern w:val="32"/>
          <w:sz w:val="32"/>
          <w:szCs w:val="32"/>
          <w:lang w:val="en-US" w:eastAsia="zh-CN"/>
        </w:rPr>
        <w:t xml:space="preserve">                      签发人：曹中国</w:t>
      </w:r>
    </w:p>
    <w:p>
      <w:pPr>
        <w:spacing w:after="0" w:line="560" w:lineRule="exact"/>
        <w:jc w:val="center"/>
        <w:rPr>
          <w:rFonts w:hint="eastAsia" w:ascii="方正小标宋简体" w:hAnsi="方正小标宋简体" w:eastAsia="方正小标宋简体" w:cs="方正小标宋简体"/>
          <w:sz w:val="44"/>
          <w:szCs w:val="44"/>
          <w:lang w:eastAsia="zh-CN"/>
        </w:rPr>
      </w:pPr>
      <w:r>
        <w:rPr>
          <w:rFonts w:hint="eastAsia" w:ascii="仿宋_GB2312" w:eastAsia="仿宋_GB2312"/>
          <w:kern w:val="32"/>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114935</wp:posOffset>
                </wp:positionV>
                <wp:extent cx="572262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262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9.05pt;height:0pt;width:450.6pt;z-index:251659264;mso-width-relative:page;mso-height-relative:page;" filled="f" stroked="t" coordsize="21600,21600" o:gfxdata="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7lALXAAAACQEAAA8AAAAAAAAAAQAgAAAAIgAAAGRycy9kb3ducmV2LnhtbFBL&#10;AQIUABQAAAAIAIdO4kAMUWjv9wEAAOUDAAAOAAAAAAAAAAEAIAAAACYBAABkcnMvZTJvRG9jLnht&#10;bFBLBQYAAAAABgAGAFkBAACP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台儿庄区</w:t>
      </w:r>
      <w:r>
        <w:rPr>
          <w:rFonts w:hint="eastAsia" w:ascii="方正小标宋简体" w:hAnsi="方正小标宋简体" w:eastAsia="方正小标宋简体" w:cs="方正小标宋简体"/>
          <w:sz w:val="44"/>
          <w:szCs w:val="44"/>
        </w:rPr>
        <w:t>行政审批服务局</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年度法治政府建设情况报告</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18"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4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区委、区政府：</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2022年，我局在区委、区政府的正确领导下，</w:t>
      </w:r>
      <w:r>
        <w:rPr>
          <w:rFonts w:hint="eastAsia" w:ascii="仿宋_GB2312" w:hAnsi="仿宋_GB2312" w:eastAsia="仿宋_GB2312" w:cs="仿宋_GB2312"/>
          <w:sz w:val="32"/>
          <w:szCs w:val="32"/>
        </w:rPr>
        <w:t>坚持以习近平新时代中国特色社会主义思想和习近平法治思想为指导</w:t>
      </w:r>
      <w:r>
        <w:rPr>
          <w:rFonts w:hint="eastAsia" w:ascii="仿宋_GB2312" w:hAnsi="仿宋_GB2312" w:eastAsia="仿宋_GB2312" w:cs="仿宋_GB2312"/>
          <w:sz w:val="32"/>
          <w:szCs w:val="32"/>
          <w:lang w:val="en-US" w:eastAsia="zh-CN"/>
        </w:rPr>
        <w:t>，</w:t>
      </w:r>
      <w:r>
        <w:rPr>
          <w:rFonts w:hint="eastAsia" w:ascii="宋体" w:hAnsi="宋体" w:eastAsia="仿宋_GB2312"/>
          <w:sz w:val="32"/>
          <w:szCs w:val="32"/>
        </w:rPr>
        <w:t>进一步创新审批服务方式，规范审批权力运行，优化审批服务流程，推进政务服务效能不断提升。</w:t>
      </w:r>
      <w:r>
        <w:rPr>
          <w:rFonts w:ascii="宋体" w:hAnsi="宋体" w:eastAsia="仿宋_GB2312"/>
          <w:sz w:val="32"/>
          <w:szCs w:val="32"/>
        </w:rPr>
        <w:t>现将我局202</w:t>
      </w:r>
      <w:r>
        <w:rPr>
          <w:rFonts w:hint="eastAsia" w:ascii="宋体" w:hAnsi="宋体" w:eastAsia="仿宋_GB2312"/>
          <w:sz w:val="32"/>
          <w:szCs w:val="32"/>
          <w:lang w:val="en-US" w:eastAsia="zh-CN"/>
        </w:rPr>
        <w:t>2</w:t>
      </w:r>
      <w:r>
        <w:rPr>
          <w:rFonts w:ascii="宋体" w:hAnsi="宋体" w:eastAsia="仿宋_GB2312"/>
          <w:sz w:val="32"/>
          <w:szCs w:val="32"/>
        </w:rPr>
        <w:t>年法治政府建设情况报告如下：</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一、推进法治政府建设的主要举措和成效</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（一）</w:t>
      </w:r>
      <w:r>
        <w:rPr>
          <w:rFonts w:hint="eastAsia" w:ascii="楷体" w:hAnsi="楷体" w:eastAsia="楷体" w:cs="楷体"/>
          <w:sz w:val="32"/>
          <w:szCs w:val="32"/>
          <w:lang w:val="en-US" w:eastAsia="zh-CN"/>
        </w:rPr>
        <w:t>坚持依法行政</w:t>
      </w:r>
      <w:r>
        <w:rPr>
          <w:rFonts w:hint="eastAsia" w:ascii="楷体" w:hAnsi="楷体" w:eastAsia="楷体" w:cs="楷体"/>
          <w:sz w:val="32"/>
          <w:szCs w:val="32"/>
        </w:rPr>
        <w:t>，打造最优营商环境。</w:t>
      </w:r>
      <w:r>
        <w:rPr>
          <w:rFonts w:hint="eastAsia" w:ascii="仿宋_GB2312" w:eastAsia="仿宋_GB2312"/>
          <w:sz w:val="32"/>
          <w:highlight w:val="none"/>
          <w:lang w:val="en-US" w:eastAsia="zh-CN"/>
        </w:rPr>
        <w:t>根据省市统一部署，依托山东省政务服务事项标准化梳理和管理系统，按照线上线下统一标准、与权责清单同步调整的原则，</w:t>
      </w:r>
      <w:r>
        <w:rPr>
          <w:rFonts w:hint="eastAsia" w:ascii="仿宋_GB2312" w:hAnsi="黑体" w:eastAsia="仿宋_GB2312"/>
          <w:sz w:val="32"/>
          <w:szCs w:val="32"/>
          <w:highlight w:val="none"/>
        </w:rPr>
        <w:t>组织全区34个部门对126</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项可网办的依申请政务服务事项</w:t>
      </w:r>
      <w:r>
        <w:rPr>
          <w:rFonts w:hint="eastAsia" w:ascii="仿宋_GB2312" w:hAnsi="黑体" w:eastAsia="仿宋_GB2312"/>
          <w:sz w:val="32"/>
          <w:szCs w:val="32"/>
          <w:highlight w:val="none"/>
          <w:lang w:eastAsia="zh-CN"/>
        </w:rPr>
        <w:t>要素</w:t>
      </w:r>
      <w:r>
        <w:rPr>
          <w:rFonts w:hint="eastAsia" w:ascii="仿宋_GB2312" w:hAnsi="黑体" w:eastAsia="仿宋_GB2312"/>
          <w:sz w:val="32"/>
          <w:szCs w:val="32"/>
          <w:highlight w:val="none"/>
        </w:rPr>
        <w:t>进行</w:t>
      </w:r>
      <w:r>
        <w:rPr>
          <w:rFonts w:hint="eastAsia" w:ascii="仿宋_GB2312" w:eastAsia="仿宋_GB2312"/>
          <w:sz w:val="32"/>
          <w:highlight w:val="none"/>
          <w:lang w:val="en-US" w:eastAsia="zh-CN"/>
        </w:rPr>
        <w:t>精细化梳理，更新优化行政许可办事指南。</w:t>
      </w:r>
      <w:r>
        <w:rPr>
          <w:rFonts w:hint="eastAsia" w:ascii="仿宋_GB2312" w:hAnsi="仿宋_GB2312" w:eastAsia="仿宋_GB2312" w:cs="仿宋_GB2312"/>
          <w:b w:val="0"/>
          <w:bCs w:val="0"/>
          <w:sz w:val="32"/>
          <w:szCs w:val="32"/>
          <w:highlight w:val="none"/>
        </w:rPr>
        <w:t>扩大“一件事”集成套餐服务改革覆盖性，组织各相关部门梳理省、市统筹的58项以外的高频“一件事”服务事项，初步形成农机跨区作业“一件事”、开办加油站“一件事”</w:t>
      </w:r>
      <w:r>
        <w:rPr>
          <w:rFonts w:hint="eastAsia" w:ascii="仿宋_GB2312" w:hAnsi="仿宋_GB2312" w:eastAsia="仿宋_GB2312" w:cs="仿宋_GB2312"/>
          <w:b w:val="0"/>
          <w:bCs w:val="0"/>
          <w:sz w:val="32"/>
          <w:szCs w:val="32"/>
          <w:highlight w:val="none"/>
          <w:lang w:eastAsia="zh-CN"/>
        </w:rPr>
        <w:t>等</w:t>
      </w:r>
      <w:r>
        <w:rPr>
          <w:rFonts w:hint="eastAsia" w:ascii="仿宋_GB2312" w:hAnsi="仿宋_GB2312" w:eastAsia="仿宋_GB2312" w:cs="仿宋_GB2312"/>
          <w:b w:val="0"/>
          <w:bCs w:val="0"/>
          <w:sz w:val="32"/>
          <w:szCs w:val="32"/>
          <w:highlight w:val="none"/>
        </w:rPr>
        <w:t>新的“一件事”服务套餐</w:t>
      </w:r>
      <w:r>
        <w:rPr>
          <w:rFonts w:hint="eastAsia" w:ascii="仿宋_GB2312" w:hAnsi="仿宋_GB2312" w:eastAsia="仿宋_GB2312" w:cs="仿宋_GB2312"/>
          <w:sz w:val="32"/>
          <w:szCs w:val="32"/>
          <w:lang w:val="en-US" w:eastAsia="zh-CN"/>
        </w:rPr>
        <w:t>”，实现“一张表单、一套材料、一次办好”。持续擦亮“台好办”服务品牌，将预建厂房与项目审批相分离，“预建厂房”与“开工一链办”双链推进，项目开工7证联办。实现水电气暖信协同报装，企业最快可0.5个工作日内完成审批。在实现开办企业“1个环节、0成本、1天办结”基础上，简化完善市场主体退出机制，试行“歇业备案”制度，探索“代位注销”模式，逐步形成“宽进宽出可暂停”的市场主体运行机制。</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color w:val="FF0000"/>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强化</w:t>
      </w:r>
      <w:r>
        <w:rPr>
          <w:rFonts w:hint="eastAsia" w:ascii="楷体" w:hAnsi="楷体" w:eastAsia="楷体" w:cs="楷体"/>
          <w:sz w:val="32"/>
          <w:szCs w:val="32"/>
        </w:rPr>
        <w:t>法治引领，推进</w:t>
      </w:r>
      <w:r>
        <w:rPr>
          <w:rFonts w:hint="eastAsia" w:ascii="楷体" w:hAnsi="楷体" w:eastAsia="楷体" w:cs="楷体"/>
          <w:sz w:val="32"/>
          <w:szCs w:val="32"/>
          <w:lang w:val="en-US" w:eastAsia="zh-CN"/>
        </w:rPr>
        <w:t>审批制度改革</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认真执行《关于深化证照“三联办”改革推进开办企业领域全生命周期服务集成改革的通知》，实现市场主体准入准营退出全过程“一件事”集成服务。其中《“企业注销”一件事》被省委改革办《地方改革案例》综合采用，并报送中央改革办；《台儿庄“云勘验”按下审批服务快进键》荣获第三届全国政务服务软实力“夯基筑本助推线上线下融合金典案例。探索推行“审批不出镇”，推动50项镇域经济社会发展和群众需求的政务服务事项下沉至邳庄镇办理，实现“镇内事镇内办”。持续深化“一窗受理”改革，</w:t>
      </w:r>
      <w:r>
        <w:rPr>
          <w:rFonts w:hint="eastAsia" w:ascii="仿宋_GB2312" w:hAnsi="黑体" w:eastAsia="仿宋_GB2312"/>
          <w:sz w:val="32"/>
          <w:szCs w:val="32"/>
          <w:highlight w:val="none"/>
        </w:rPr>
        <w:t>推进事项全程网上办理，网办深度达到三级（网上审批）的事项占比为99.</w:t>
      </w:r>
      <w:r>
        <w:rPr>
          <w:rFonts w:hint="eastAsia" w:ascii="仿宋_GB2312" w:hAnsi="黑体" w:eastAsia="仿宋_GB2312"/>
          <w:sz w:val="32"/>
          <w:szCs w:val="32"/>
          <w:highlight w:val="none"/>
          <w:lang w:val="en-US" w:eastAsia="zh-CN"/>
        </w:rPr>
        <w:t>8</w:t>
      </w:r>
      <w:r>
        <w:rPr>
          <w:rFonts w:hint="eastAsia" w:ascii="仿宋_GB2312" w:hAnsi="黑体" w:eastAsia="仿宋_GB2312"/>
          <w:sz w:val="32"/>
          <w:szCs w:val="32"/>
          <w:highlight w:val="none"/>
        </w:rPr>
        <w:t>%，全程网办事项占比为99.6%。实施告知承诺制，承诺办结时限相对法定办结时限平均压减</w:t>
      </w:r>
      <w:r>
        <w:rPr>
          <w:rFonts w:hint="eastAsia" w:ascii="仿宋_GB2312" w:hAnsi="仿宋_GB2312" w:eastAsia="仿宋_GB2312" w:cs="仿宋_GB2312"/>
          <w:sz w:val="32"/>
          <w:szCs w:val="32"/>
          <w:lang w:val="en-US" w:eastAsia="zh-CN"/>
        </w:rPr>
        <w:t>80%以上，承诺时限压缩率达94.2%，即办件占比81.3%。认真执行《枣庄市工业投资项目“租赁即开工”审批模式实施意见（试行）》，推行“零增地”审批服务模式，实现工业投资项目和闲置厂房精准、快速匹配，目前已审批9个项目、盘活闲置厂房13.93万平方米。</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（三）践行人民至上，提供精准暖心服务。</w:t>
      </w:r>
      <w:r>
        <w:rPr>
          <w:rFonts w:hint="eastAsia" w:ascii="仿宋_GB2312" w:hAnsi="仿宋_GB2312" w:eastAsia="仿宋_GB2312" w:cs="仿宋_GB2312"/>
          <w:sz w:val="32"/>
          <w:szCs w:val="32"/>
        </w:rPr>
        <w:t>设立企业服务中心，对涉企事项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迎着办、</w:t>
      </w:r>
      <w:r>
        <w:rPr>
          <w:rFonts w:hint="eastAsia" w:ascii="仿宋_GB2312" w:hAnsi="仿宋_GB2312" w:eastAsia="仿宋_GB2312" w:cs="仿宋_GB2312"/>
          <w:sz w:val="32"/>
          <w:szCs w:val="32"/>
          <w:lang w:eastAsia="zh-CN"/>
        </w:rPr>
        <w:t>陪着办、跟着办、</w:t>
      </w:r>
      <w:r>
        <w:rPr>
          <w:rFonts w:hint="eastAsia" w:ascii="仿宋_GB2312" w:hAnsi="仿宋_GB2312" w:eastAsia="仿宋_GB2312" w:cs="仿宋_GB2312"/>
          <w:sz w:val="32"/>
          <w:szCs w:val="32"/>
        </w:rPr>
        <w:t>帮着办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为企业提供全过程、全周期、更直接、更便利的精准服务。</w:t>
      </w:r>
      <w:r>
        <w:rPr>
          <w:rFonts w:hint="eastAsia" w:ascii="仿宋_GB2312" w:hAnsi="仿宋_GB2312" w:eastAsia="仿宋_GB2312" w:cs="仿宋_GB2312"/>
          <w:kern w:val="0"/>
          <w:sz w:val="32"/>
          <w:szCs w:val="32"/>
          <w:shd w:val="clear" w:color="auto" w:fill="FFFFFF"/>
          <w:lang w:val="en-US" w:eastAsia="zh-CN"/>
        </w:rPr>
        <w:t>优选24名业务骨干组建重点项目审批帮包团队，创新开展“项目管家”服务，灵活采用预先指导、精准帮办、“一企一策”、延时服务、容缺受理、告知承诺等服务重点项目建设。其中，《台儿庄区强化“三个保障”助力企业复工复产》被《枣庄市营商环境提升工程专班简报》第27期采用。推行企业档案“容e查”服务，实现企业登记档案自主查询、自助打印“零跑腿”服务，打通不见面审批服务的最后一环。全面施行“窗口无否决权”机制，实行政务服务“好差评”。加强跨域通办，与4省18市31县（区）共125个地区合作，</w:t>
      </w:r>
      <w:r>
        <w:rPr>
          <w:rFonts w:hint="eastAsia" w:ascii="仿宋_GB2312" w:hAnsi="仿宋_GB2312" w:eastAsia="仿宋_GB2312" w:cs="仿宋_GB2312"/>
          <w:kern w:val="0"/>
          <w:sz w:val="32"/>
          <w:szCs w:val="32"/>
          <w:shd w:val="clear" w:color="auto" w:fill="FFFFFF"/>
        </w:rPr>
        <w:t>设置“跨域通办”专窗</w:t>
      </w:r>
      <w:r>
        <w:rPr>
          <w:rFonts w:hint="eastAsia" w:ascii="仿宋_GB2312" w:hAnsi="仿宋_GB2312" w:eastAsia="仿宋_GB2312" w:cs="仿宋_GB2312"/>
          <w:kern w:val="0"/>
          <w:sz w:val="32"/>
          <w:szCs w:val="32"/>
          <w:shd w:val="clear" w:color="auto" w:fill="FFFFFF"/>
          <w:lang w:val="en-US" w:eastAsia="zh-CN"/>
        </w:rPr>
        <w:t>9</w:t>
      </w:r>
      <w:r>
        <w:rPr>
          <w:rFonts w:hint="eastAsia" w:ascii="仿宋_GB2312" w:eastAsia="仿宋_GB2312" w:cstheme="minorBidi"/>
          <w:kern w:val="2"/>
          <w:sz w:val="32"/>
          <w:szCs w:val="32"/>
        </w:rPr>
        <w:t>个，</w:t>
      </w:r>
      <w:r>
        <w:rPr>
          <w:rFonts w:hint="eastAsia" w:ascii="仿宋_GB2312" w:hAnsi="仿宋_GB2312" w:eastAsia="仿宋_GB2312" w:cs="仿宋_GB2312"/>
          <w:kern w:val="2"/>
          <w:sz w:val="32"/>
          <w:szCs w:val="32"/>
          <w:lang w:val="en-US" w:eastAsia="zh-CN" w:bidi="ar-SA"/>
        </w:rPr>
        <w:t>更好地满足企业和群众异地办事需求，《台儿庄区深化鲁苏区域协作推动政务服务纵深发展》被《山东省营优化营商环境推进政府职能转变》简报第42期刊登。</w:t>
      </w:r>
      <w:r>
        <w:rPr>
          <w:rFonts w:hint="eastAsia" w:ascii="仿宋_GB2312" w:hAnsi="仿宋_GB2312" w:eastAsia="仿宋_GB2312" w:cs="仿宋_GB2312"/>
          <w:sz w:val="32"/>
          <w:szCs w:val="32"/>
        </w:rPr>
        <w:t>区、镇（街道）政务（便民）服务中心全面推行“午间不断档·全年不打烊”</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，较好地解决了群众上班时间“没空办”、休息时间“没处办”的难题。</w:t>
      </w:r>
      <w:r>
        <w:rPr>
          <w:rFonts w:hint="eastAsia" w:ascii="仿宋_GB2312" w:hAnsi="仿宋_GB2312" w:eastAsia="仿宋_GB2312" w:cs="仿宋_GB2312"/>
          <w:sz w:val="32"/>
          <w:szCs w:val="32"/>
          <w:lang w:val="en-US" w:eastAsia="zh-CN"/>
        </w:rPr>
        <w:t>加强线上线下融合提升网上服务能力，持续完善“一网通办”，推动更多适合网上办理的政务服务事项由网上可办向全程网办、好办易办转变。</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二、存在的不足和原因</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局在</w:t>
      </w:r>
      <w:r>
        <w:rPr>
          <w:rFonts w:hint="eastAsia" w:ascii="仿宋_GB2312" w:hAnsi="仿宋_GB2312" w:eastAsia="仿宋_GB2312" w:cs="仿宋_GB2312"/>
          <w:sz w:val="32"/>
          <w:szCs w:val="32"/>
        </w:rPr>
        <w:t>法治建设</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虽</w:t>
      </w:r>
      <w:r>
        <w:rPr>
          <w:rFonts w:hint="eastAsia" w:ascii="仿宋_GB2312" w:hAnsi="仿宋_GB2312" w:eastAsia="仿宋_GB2312" w:cs="仿宋_GB2312"/>
          <w:sz w:val="32"/>
          <w:szCs w:val="32"/>
          <w:lang w:eastAsia="zh-CN"/>
        </w:rPr>
        <w:t>然</w:t>
      </w:r>
      <w:r>
        <w:rPr>
          <w:rFonts w:hint="eastAsia" w:ascii="仿宋_GB2312" w:hAnsi="仿宋_GB2312" w:eastAsia="仿宋_GB2312" w:cs="仿宋_GB2312"/>
          <w:sz w:val="32"/>
          <w:szCs w:val="32"/>
        </w:rPr>
        <w:t>取得</w:t>
      </w:r>
      <w:r>
        <w:rPr>
          <w:rFonts w:hint="eastAsia" w:ascii="仿宋_GB2312" w:hAnsi="仿宋_GB2312" w:eastAsia="仿宋_GB2312" w:cs="仿宋_GB2312"/>
          <w:sz w:val="32"/>
          <w:szCs w:val="32"/>
          <w:lang w:eastAsia="zh-CN"/>
        </w:rPr>
        <w:t>了较大</w:t>
      </w:r>
      <w:r>
        <w:rPr>
          <w:rFonts w:hint="eastAsia" w:ascii="仿宋_GB2312" w:hAnsi="仿宋_GB2312" w:eastAsia="仿宋_GB2312" w:cs="仿宋_GB2312"/>
          <w:sz w:val="32"/>
          <w:szCs w:val="32"/>
        </w:rPr>
        <w:t>成绩，但</w:t>
      </w:r>
      <w:r>
        <w:rPr>
          <w:rFonts w:hint="eastAsia" w:ascii="仿宋_GB2312" w:hAnsi="仿宋_GB2312" w:eastAsia="仿宋_GB2312" w:cs="仿宋_GB2312"/>
          <w:sz w:val="32"/>
          <w:szCs w:val="32"/>
          <w:lang w:eastAsia="zh-CN"/>
        </w:rPr>
        <w:t>与上级要求和人民群众的期盼相比还有不小的差距。</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表现在：</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ascii="仿宋_GB2312" w:eastAsia="仿宋_GB2312"/>
          <w:spacing w:val="0"/>
          <w:sz w:val="32"/>
          <w:szCs w:val="32"/>
        </w:rPr>
      </w:pPr>
      <w:r>
        <w:rPr>
          <w:rFonts w:hint="eastAsia" w:ascii="楷体" w:hAnsi="楷体" w:eastAsia="楷体"/>
          <w:spacing w:val="0"/>
          <w:sz w:val="32"/>
          <w:szCs w:val="32"/>
        </w:rPr>
        <w:t>（一）便民惠企政策宣传还不够。</w:t>
      </w:r>
      <w:r>
        <w:rPr>
          <w:rFonts w:hint="eastAsia" w:ascii="仿宋_GB2312" w:eastAsia="仿宋_GB2312"/>
          <w:spacing w:val="0"/>
          <w:sz w:val="32"/>
          <w:szCs w:val="32"/>
        </w:rPr>
        <w:t>今年以来，国家省市先后出台了一系列法制化营商环境、方便群众办事的好政策，改革的新举措，但企业和群众知晓度</w:t>
      </w:r>
      <w:r>
        <w:rPr>
          <w:rFonts w:hint="eastAsia" w:ascii="仿宋_GB2312" w:eastAsia="仿宋_GB2312"/>
          <w:spacing w:val="0"/>
          <w:sz w:val="32"/>
          <w:szCs w:val="32"/>
          <w:lang w:eastAsia="zh-CN"/>
        </w:rPr>
        <w:t>有待提高</w:t>
      </w:r>
      <w:r>
        <w:rPr>
          <w:rFonts w:hint="eastAsia" w:ascii="仿宋_GB2312" w:eastAsia="仿宋_GB2312"/>
          <w:spacing w:val="0"/>
          <w:sz w:val="32"/>
          <w:szCs w:val="32"/>
        </w:rPr>
        <w:t>，一些网上就能申请办理的业务，有时候仍要到大厅办理才放心，一定程度上增加了跑腿次数。</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ascii="仿宋_GB2312" w:eastAsia="仿宋_GB2312"/>
          <w:spacing w:val="0"/>
          <w:sz w:val="32"/>
          <w:szCs w:val="32"/>
        </w:rPr>
      </w:pPr>
      <w:r>
        <w:rPr>
          <w:rFonts w:hint="eastAsia" w:ascii="楷体" w:hAnsi="楷体" w:eastAsia="楷体"/>
          <w:spacing w:val="0"/>
          <w:sz w:val="32"/>
          <w:szCs w:val="32"/>
        </w:rPr>
        <w:t>（二）法治教育认识不足。</w:t>
      </w:r>
      <w:r>
        <w:rPr>
          <w:rFonts w:hint="eastAsia" w:ascii="仿宋_GB2312" w:eastAsia="仿宋_GB2312"/>
          <w:spacing w:val="0"/>
          <w:sz w:val="32"/>
          <w:szCs w:val="32"/>
        </w:rPr>
        <w:t>加快法治政府建设的核心是严格依法行政，然而依法行政的法治理念在行政执法人员队伍中还没能普遍形成，仍然有一部分行政执法人员在思想觉悟与意识上还存在着一定的差距，对于依法治国的方针政策还没有得到完全的理解与认知，思维模式也有待提高与进步。</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hint="eastAsia" w:ascii="仿宋_GB2312" w:eastAsia="仿宋_GB2312"/>
          <w:spacing w:val="0"/>
          <w:sz w:val="32"/>
          <w:szCs w:val="32"/>
          <w:lang w:eastAsia="zh-CN"/>
        </w:rPr>
      </w:pPr>
      <w:r>
        <w:rPr>
          <w:rFonts w:hint="eastAsia" w:ascii="楷体" w:hAnsi="楷体" w:eastAsia="楷体"/>
          <w:spacing w:val="0"/>
          <w:sz w:val="32"/>
          <w:szCs w:val="32"/>
        </w:rPr>
        <w:t>（三）</w:t>
      </w:r>
      <w:r>
        <w:rPr>
          <w:rFonts w:hint="eastAsia" w:ascii="楷体" w:hAnsi="楷体" w:eastAsia="楷体"/>
          <w:spacing w:val="0"/>
          <w:sz w:val="32"/>
          <w:szCs w:val="32"/>
          <w:lang w:eastAsia="zh-CN"/>
        </w:rPr>
        <w:t>行政审批制度改革还需进一步深入。</w:t>
      </w:r>
      <w:r>
        <w:rPr>
          <w:rFonts w:hint="eastAsia" w:ascii="仿宋_GB2312" w:eastAsia="仿宋_GB2312"/>
          <w:spacing w:val="0"/>
          <w:sz w:val="32"/>
          <w:szCs w:val="32"/>
          <w:lang w:eastAsia="zh-CN"/>
        </w:rPr>
        <w:t>行政审批局组建刚满四</w:t>
      </w:r>
      <w:r>
        <w:rPr>
          <w:rFonts w:hint="eastAsia" w:ascii="仿宋_GB2312" w:eastAsia="仿宋_GB2312"/>
          <w:spacing w:val="0"/>
          <w:sz w:val="32"/>
          <w:szCs w:val="32"/>
          <w:lang w:val="en-US" w:eastAsia="zh-CN"/>
        </w:rPr>
        <w:t>年</w:t>
      </w:r>
      <w:r>
        <w:rPr>
          <w:rFonts w:hint="eastAsia" w:ascii="仿宋_GB2312" w:eastAsia="仿宋_GB2312"/>
          <w:spacing w:val="0"/>
          <w:sz w:val="32"/>
          <w:szCs w:val="32"/>
          <w:lang w:eastAsia="zh-CN"/>
        </w:rPr>
        <w:t>，相对集中行政许可改革还需不断完善，日常工作中，无论是在思想、观念，还是改革方式、方法都需不断探索。</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三、党政主要负责人履行推进法治政府建设第一责任人职责，加强法治政府建设有关情况</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ascii="仿宋_GB2312" w:eastAsia="仿宋_GB2312"/>
          <w:spacing w:val="0"/>
          <w:sz w:val="32"/>
          <w:szCs w:val="32"/>
        </w:rPr>
      </w:pPr>
      <w:r>
        <w:rPr>
          <w:rFonts w:hint="eastAsia" w:ascii="楷体_GB2312" w:hAnsi="楷体_GB2312" w:eastAsia="楷体_GB2312" w:cs="楷体_GB2312"/>
          <w:spacing w:val="0"/>
          <w:sz w:val="32"/>
          <w:szCs w:val="32"/>
        </w:rPr>
        <w:t>（一）增强尊法学法用法意识，带头履行推进法治建设责任。</w:t>
      </w:r>
      <w:r>
        <w:rPr>
          <w:rFonts w:hint="eastAsia" w:ascii="仿宋_GB2312" w:eastAsia="仿宋_GB2312"/>
          <w:spacing w:val="0"/>
          <w:sz w:val="32"/>
          <w:szCs w:val="32"/>
        </w:rPr>
        <w:t>作为审批服务局法治建设第一责任人，从思想上尊法学法用法。</w:t>
      </w:r>
      <w:r>
        <w:rPr>
          <w:rFonts w:hint="eastAsia" w:ascii="仿宋_GB2312" w:eastAsia="仿宋_GB2312"/>
          <w:b/>
          <w:bCs/>
          <w:spacing w:val="0"/>
          <w:sz w:val="32"/>
          <w:szCs w:val="32"/>
        </w:rPr>
        <w:t>一是带头学法讲法。</w:t>
      </w:r>
      <w:r>
        <w:rPr>
          <w:rFonts w:hint="eastAsia" w:ascii="仿宋_GB2312" w:eastAsia="仿宋_GB2312"/>
          <w:spacing w:val="0"/>
          <w:sz w:val="32"/>
          <w:szCs w:val="32"/>
        </w:rPr>
        <w:t>贯彻落实党组</w:t>
      </w:r>
      <w:r>
        <w:rPr>
          <w:rFonts w:hint="eastAsia" w:ascii="仿宋_GB2312" w:eastAsia="仿宋_GB2312"/>
          <w:spacing w:val="0"/>
          <w:sz w:val="32"/>
          <w:szCs w:val="32"/>
          <w:lang w:eastAsia="zh-CN"/>
        </w:rPr>
        <w:t>理论</w:t>
      </w:r>
      <w:r>
        <w:rPr>
          <w:rFonts w:hint="eastAsia" w:ascii="仿宋_GB2312" w:eastAsia="仿宋_GB2312"/>
          <w:spacing w:val="0"/>
          <w:sz w:val="32"/>
          <w:szCs w:val="32"/>
        </w:rPr>
        <w:t>中心组学习制度，将习近平法治思想、</w:t>
      </w:r>
      <w:r>
        <w:rPr>
          <w:rFonts w:hint="eastAsia" w:ascii="仿宋_GB2312" w:hAnsi="仿宋_GB2312" w:eastAsia="仿宋_GB2312" w:cs="仿宋_GB2312"/>
          <w:sz w:val="32"/>
          <w:szCs w:val="32"/>
          <w:lang w:val="en-US" w:eastAsia="zh-CN"/>
        </w:rPr>
        <w:t>《</w:t>
      </w:r>
      <w:r>
        <w:rPr>
          <w:rFonts w:hint="eastAsia" w:ascii="仿宋_GB2312" w:eastAsia="仿宋_GB2312"/>
          <w:spacing w:val="0"/>
          <w:sz w:val="32"/>
          <w:szCs w:val="32"/>
        </w:rPr>
        <w:t>民法典</w:t>
      </w:r>
      <w:r>
        <w:rPr>
          <w:rFonts w:hint="eastAsia" w:ascii="仿宋_GB2312" w:hAnsi="仿宋_GB2312" w:eastAsia="仿宋_GB2312" w:cs="仿宋_GB2312"/>
          <w:sz w:val="32"/>
          <w:szCs w:val="32"/>
          <w:lang w:val="en-US" w:eastAsia="zh-CN"/>
        </w:rPr>
        <w:t>》</w:t>
      </w:r>
      <w:r>
        <w:rPr>
          <w:rFonts w:hint="eastAsia" w:ascii="仿宋_GB2312" w:eastAsia="仿宋_GB2312"/>
          <w:spacing w:val="0"/>
          <w:sz w:val="32"/>
          <w:szCs w:val="32"/>
        </w:rPr>
        <w:t>及法律知识作为党组理论中心组重要学习内容，领导班子成员结合自身行政许可工作进行研讨，提升班子整体法治意识</w:t>
      </w:r>
      <w:r>
        <w:rPr>
          <w:rFonts w:hint="eastAsia" w:ascii="仿宋_GB2312" w:eastAsia="仿宋_GB2312"/>
          <w:spacing w:val="0"/>
          <w:sz w:val="32"/>
          <w:szCs w:val="32"/>
          <w:lang w:eastAsia="zh-CN"/>
        </w:rPr>
        <w:t>，党组理论学习中心组共开展</w:t>
      </w:r>
      <w:r>
        <w:rPr>
          <w:rFonts w:hint="eastAsia" w:ascii="仿宋_GB2312" w:eastAsia="仿宋_GB2312"/>
          <w:spacing w:val="0"/>
          <w:sz w:val="32"/>
          <w:szCs w:val="32"/>
          <w:lang w:val="en-US" w:eastAsia="zh-CN"/>
        </w:rPr>
        <w:t>13次集体学法</w:t>
      </w:r>
      <w:r>
        <w:rPr>
          <w:rFonts w:hint="eastAsia" w:ascii="仿宋_GB2312" w:eastAsia="仿宋_GB2312"/>
          <w:spacing w:val="0"/>
          <w:sz w:val="32"/>
          <w:szCs w:val="32"/>
        </w:rPr>
        <w:t>。</w:t>
      </w:r>
      <w:r>
        <w:rPr>
          <w:rFonts w:hint="eastAsia" w:ascii="仿宋_GB2312" w:eastAsia="仿宋_GB2312"/>
          <w:b/>
          <w:bCs/>
          <w:spacing w:val="0"/>
          <w:sz w:val="32"/>
          <w:szCs w:val="32"/>
        </w:rPr>
        <w:t>二是抓好干部普法学习教育。</w:t>
      </w:r>
      <w:r>
        <w:rPr>
          <w:rFonts w:hint="eastAsia" w:ascii="仿宋_GB2312" w:eastAsia="仿宋_GB2312"/>
          <w:spacing w:val="0"/>
          <w:sz w:val="32"/>
          <w:szCs w:val="32"/>
        </w:rPr>
        <w:t>坚持集中学习和自学相结合，利用报纸、网站、学习强国、灯塔在线、学法用法普法考试平台等进行学习，加强法治教育培训工作，不断提高干部队伍法治素质；截至目前，对180余名窗口人员进行集中培训，持有行政执法证人员3</w:t>
      </w:r>
      <w:r>
        <w:rPr>
          <w:rFonts w:hint="eastAsia" w:ascii="仿宋_GB2312" w:eastAsia="仿宋_GB2312"/>
          <w:spacing w:val="0"/>
          <w:sz w:val="32"/>
          <w:szCs w:val="32"/>
          <w:lang w:val="en-US" w:eastAsia="zh-CN"/>
        </w:rPr>
        <w:t>3</w:t>
      </w:r>
      <w:r>
        <w:rPr>
          <w:rFonts w:hint="eastAsia" w:ascii="仿宋_GB2312" w:eastAsia="仿宋_GB2312"/>
          <w:spacing w:val="0"/>
          <w:sz w:val="32"/>
          <w:szCs w:val="32"/>
        </w:rPr>
        <w:t>名</w:t>
      </w:r>
      <w:r>
        <w:rPr>
          <w:rFonts w:hint="eastAsia" w:ascii="仿宋_GB2312" w:eastAsia="仿宋_GB2312"/>
          <w:spacing w:val="0"/>
          <w:sz w:val="32"/>
          <w:szCs w:val="32"/>
          <w:lang w:eastAsia="zh-CN"/>
        </w:rPr>
        <w:t>，听证主持人证人员</w:t>
      </w:r>
      <w:r>
        <w:rPr>
          <w:rFonts w:hint="eastAsia" w:ascii="仿宋_GB2312" w:eastAsia="仿宋_GB2312"/>
          <w:spacing w:val="0"/>
          <w:sz w:val="32"/>
          <w:szCs w:val="32"/>
          <w:lang w:val="en-US" w:eastAsia="zh-CN"/>
        </w:rPr>
        <w:t>2名</w:t>
      </w:r>
      <w:r>
        <w:rPr>
          <w:rFonts w:hint="eastAsia" w:ascii="仿宋_GB2312" w:eastAsia="仿宋_GB2312"/>
          <w:spacing w:val="0"/>
          <w:sz w:val="32"/>
          <w:szCs w:val="32"/>
        </w:rPr>
        <w:t>。</w:t>
      </w:r>
      <w:r>
        <w:rPr>
          <w:rFonts w:hint="eastAsia" w:ascii="仿宋_GB2312" w:eastAsia="仿宋_GB2312"/>
          <w:b/>
          <w:bCs/>
          <w:spacing w:val="0"/>
          <w:sz w:val="32"/>
          <w:szCs w:val="32"/>
        </w:rPr>
        <w:t>三是坚持依法办事、执法公示。</w:t>
      </w:r>
      <w:r>
        <w:rPr>
          <w:rFonts w:hint="eastAsia" w:ascii="仿宋_GB2312" w:eastAsia="仿宋_GB2312"/>
          <w:spacing w:val="0"/>
          <w:sz w:val="32"/>
          <w:szCs w:val="32"/>
        </w:rPr>
        <w:t>严格贯彻落实依法治区工作要求，坚持“把权力关进制度的笼子”，通过山东政务服务网发布行政许可事项办事指南，作出行政决定7个工作日内全面、及时、准确进行公开，同步上传至“信用枣庄”平台、互联网+监管平台，实现行政许可事前、事中、事后公开。</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hint="eastAsia"/>
          <w:lang w:val="en-US" w:eastAsia="zh-CN"/>
        </w:rPr>
      </w:pPr>
      <w:r>
        <w:rPr>
          <w:rFonts w:hint="eastAsia" w:ascii="楷体_GB2312" w:hAnsi="楷体_GB2312" w:eastAsia="楷体_GB2312" w:cs="楷体_GB2312"/>
          <w:spacing w:val="0"/>
          <w:sz w:val="32"/>
          <w:szCs w:val="32"/>
        </w:rPr>
        <w:t>（二）坚持依法行政，推进服务事项“一站办”。</w:t>
      </w:r>
      <w:r>
        <w:rPr>
          <w:rFonts w:hint="eastAsia" w:ascii="仿宋_GB2312" w:eastAsia="仿宋_GB2312"/>
          <w:spacing w:val="0"/>
          <w:sz w:val="32"/>
          <w:szCs w:val="32"/>
        </w:rPr>
        <w:t>以“精简、统一、效能、便民”为原则，认真履行市民中心运行管理的主体责任，着力构建科学规范、运转高效的审批服务体系。</w:t>
      </w:r>
      <w:r>
        <w:rPr>
          <w:rFonts w:hint="eastAsia" w:ascii="仿宋_GB2312" w:eastAsia="仿宋_GB2312"/>
          <w:b/>
          <w:bCs/>
          <w:spacing w:val="0"/>
          <w:sz w:val="32"/>
          <w:szCs w:val="32"/>
        </w:rPr>
        <w:t>一是全面深化“一窗受理”。</w:t>
      </w:r>
      <w:r>
        <w:rPr>
          <w:rFonts w:hint="eastAsia" w:ascii="仿宋_GB2312" w:eastAsia="仿宋_GB2312"/>
          <w:spacing w:val="0"/>
          <w:sz w:val="32"/>
          <w:szCs w:val="32"/>
        </w:rPr>
        <w:t>推行“前台综合受理、后台分类审批、统一窗口出件”工作模式，将全区依申请政务服务事项全部纳入“一窗受理”平台管理运行。全区依申请政务服务事项网上可办率为100%，可全程网办率为100%；全区211个行政村和社区网上政务服务站点</w:t>
      </w:r>
      <w:r>
        <w:rPr>
          <w:rFonts w:hint="eastAsia" w:ascii="仿宋_GB2312" w:eastAsia="仿宋_GB2312"/>
          <w:spacing w:val="0"/>
          <w:sz w:val="32"/>
          <w:szCs w:val="32"/>
          <w:lang w:eastAsia="zh-CN"/>
        </w:rPr>
        <w:t>实现</w:t>
      </w:r>
      <w:r>
        <w:rPr>
          <w:rFonts w:hint="eastAsia" w:ascii="仿宋_GB2312" w:eastAsia="仿宋_GB2312"/>
          <w:spacing w:val="0"/>
          <w:sz w:val="32"/>
          <w:szCs w:val="32"/>
        </w:rPr>
        <w:t>全覆盖、政务服务事项全部上网运行。</w:t>
      </w:r>
      <w:r>
        <w:rPr>
          <w:rFonts w:hint="eastAsia" w:ascii="仿宋_GB2312" w:eastAsia="仿宋_GB2312"/>
          <w:b/>
          <w:bCs/>
          <w:spacing w:val="0"/>
          <w:sz w:val="32"/>
          <w:szCs w:val="32"/>
          <w:lang w:eastAsia="zh-CN"/>
        </w:rPr>
        <w:t>二</w:t>
      </w:r>
      <w:r>
        <w:rPr>
          <w:rFonts w:hint="eastAsia" w:ascii="仿宋_GB2312" w:eastAsia="仿宋_GB2312"/>
          <w:b/>
          <w:bCs/>
          <w:spacing w:val="0"/>
          <w:sz w:val="32"/>
          <w:szCs w:val="32"/>
        </w:rPr>
        <w:t>是审批体系向基层延伸。</w:t>
      </w:r>
      <w:r>
        <w:rPr>
          <w:rFonts w:hint="eastAsia" w:ascii="仿宋_GB2312" w:eastAsia="仿宋_GB2312"/>
          <w:spacing w:val="0"/>
          <w:sz w:val="32"/>
          <w:szCs w:val="32"/>
        </w:rPr>
        <w:t>开展“双十镇”赋能扩权，通过直接下放、委托收件、政银合作、自助服务等方式，开展“区镇通办”、“双十镇”扩权赋能，将拖拉机驾驶证、残疾人证、残疾人补贴，低保、老年人优待证等30个事项下沉镇（街），实现就近能办、多点可办、少跑快办。</w:t>
      </w:r>
      <w:r>
        <w:rPr>
          <w:rFonts w:hint="eastAsia" w:ascii="仿宋_GB2312" w:eastAsia="仿宋_GB2312"/>
          <w:b/>
          <w:bCs/>
          <w:spacing w:val="0"/>
          <w:sz w:val="32"/>
          <w:szCs w:val="32"/>
          <w:lang w:eastAsia="zh-CN"/>
        </w:rPr>
        <w:t>三</w:t>
      </w:r>
      <w:r>
        <w:rPr>
          <w:rFonts w:hint="eastAsia" w:ascii="仿宋_GB2312" w:eastAsia="仿宋_GB2312"/>
          <w:b/>
          <w:bCs/>
          <w:spacing w:val="0"/>
          <w:sz w:val="32"/>
          <w:szCs w:val="32"/>
        </w:rPr>
        <w:t>是持续深化“跨域通办”。</w:t>
      </w:r>
      <w:r>
        <w:rPr>
          <w:rFonts w:hint="eastAsia" w:ascii="仿宋_GB2312" w:eastAsia="仿宋_GB2312"/>
          <w:spacing w:val="0"/>
          <w:sz w:val="32"/>
          <w:szCs w:val="32"/>
        </w:rPr>
        <w:t>设置“跨域通办”窗口，建立跨省通办、全省通办工作台账，展开“线上+线下”融合，实现了</w:t>
      </w:r>
      <w:r>
        <w:rPr>
          <w:rFonts w:hint="eastAsia" w:ascii="仿宋_GB2312" w:eastAsia="仿宋_GB2312"/>
          <w:spacing w:val="0"/>
          <w:sz w:val="32"/>
          <w:szCs w:val="32"/>
          <w:lang w:val="en-US" w:eastAsia="zh-CN"/>
        </w:rPr>
        <w:t>6000</w:t>
      </w:r>
      <w:r>
        <w:rPr>
          <w:rFonts w:hint="eastAsia" w:ascii="仿宋_GB2312" w:eastAsia="仿宋_GB2312"/>
          <w:spacing w:val="0"/>
          <w:sz w:val="32"/>
          <w:szCs w:val="32"/>
        </w:rPr>
        <w:t>余件业务办理。</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0"/>
          <w:sz w:val="32"/>
          <w:szCs w:val="32"/>
        </w:rPr>
        <w:t>（三）持续优化流程，实现重点领域提升</w:t>
      </w:r>
      <w:r>
        <w:rPr>
          <w:rFonts w:hint="eastAsia" w:ascii="楷体" w:hAnsi="楷体" w:eastAsia="楷体"/>
          <w:spacing w:val="0"/>
          <w:sz w:val="32"/>
          <w:szCs w:val="32"/>
        </w:rPr>
        <w:t>。</w:t>
      </w:r>
      <w:r>
        <w:rPr>
          <w:rFonts w:hint="eastAsia" w:ascii="仿宋_GB2312" w:eastAsia="仿宋_GB2312"/>
          <w:b/>
          <w:bCs/>
          <w:spacing w:val="0"/>
          <w:sz w:val="32"/>
          <w:szCs w:val="32"/>
        </w:rPr>
        <w:t>一是加快推进了“双全双百”工程实施</w:t>
      </w:r>
      <w:r>
        <w:rPr>
          <w:rFonts w:hint="eastAsia" w:ascii="仿宋_GB2312" w:eastAsia="仿宋_GB2312"/>
          <w:b/>
          <w:bCs/>
          <w:spacing w:val="0"/>
          <w:sz w:val="32"/>
          <w:szCs w:val="32"/>
          <w:lang w:eastAsia="zh-CN"/>
        </w:rPr>
        <w:t>。</w:t>
      </w:r>
      <w:r>
        <w:rPr>
          <w:rFonts w:hint="eastAsia" w:ascii="仿宋_GB2312" w:eastAsia="仿宋_GB2312"/>
          <w:spacing w:val="0"/>
          <w:sz w:val="32"/>
          <w:szCs w:val="32"/>
        </w:rPr>
        <w:t>聚焦企业和群众实际需求，各推出了100项高频事项集成办、极简办、全域办，线下设置了“双全双百”“一件事”服务专窗，线上在区级站点开设“双全双百”专区，将个人和企业全生命周期政务服务清单在专区展示；开展企业开办、变更等场景多部门联办“主题套餐式”服务</w:t>
      </w:r>
      <w:r>
        <w:rPr>
          <w:rFonts w:hint="eastAsia" w:ascii="仿宋_GB2312" w:eastAsia="仿宋_GB2312"/>
          <w:spacing w:val="0"/>
          <w:sz w:val="32"/>
          <w:szCs w:val="32"/>
          <w:lang w:eastAsia="zh-CN"/>
        </w:rPr>
        <w:t>。例</w:t>
      </w:r>
      <w:r>
        <w:rPr>
          <w:rFonts w:hint="eastAsia" w:ascii="仿宋_GB2312" w:eastAsia="仿宋_GB2312"/>
          <w:spacing w:val="0"/>
          <w:sz w:val="32"/>
          <w:szCs w:val="32"/>
        </w:rPr>
        <w:t>如，开办加油站一件事38项材料精简压缩到12项，精简了68%。</w:t>
      </w:r>
      <w:r>
        <w:rPr>
          <w:rFonts w:hint="eastAsia" w:ascii="仿宋_GB2312" w:eastAsia="仿宋_GB2312"/>
          <w:b/>
          <w:bCs/>
          <w:spacing w:val="0"/>
          <w:sz w:val="32"/>
          <w:szCs w:val="32"/>
        </w:rPr>
        <w:t>二是全面提升企业开办服务水平。</w:t>
      </w:r>
      <w:r>
        <w:rPr>
          <w:rFonts w:hint="eastAsia" w:ascii="仿宋_GB2312" w:eastAsia="仿宋_GB2312"/>
          <w:spacing w:val="0"/>
          <w:sz w:val="32"/>
          <w:szCs w:val="32"/>
        </w:rPr>
        <w:t>以“流程再造改革攻坚”为突破口，实现企业开办“集成服务”、“闭环审批”，打造企业开办微信秒批智能系统，以“微信端+身份认证+创新应用”为思路，将4种高频类型市场主体的设立登记全部搬上移动端，真正实现了365天24小时不打烊服务。</w:t>
      </w:r>
      <w:r>
        <w:rPr>
          <w:rFonts w:hint="eastAsia" w:ascii="仿宋_GB2312" w:eastAsia="仿宋_GB2312"/>
          <w:b/>
          <w:bCs/>
          <w:spacing w:val="0"/>
          <w:sz w:val="32"/>
          <w:szCs w:val="32"/>
        </w:rPr>
        <w:t>三是深化项目审批制度改革</w:t>
      </w:r>
      <w:r>
        <w:rPr>
          <w:rFonts w:hint="eastAsia" w:ascii="仿宋_GB2312" w:eastAsia="仿宋_GB2312"/>
          <w:b/>
          <w:bCs/>
          <w:spacing w:val="0"/>
          <w:sz w:val="32"/>
          <w:szCs w:val="32"/>
          <w:lang w:eastAsia="zh-CN"/>
        </w:rPr>
        <w:t>。</w:t>
      </w:r>
      <w:r>
        <w:rPr>
          <w:rFonts w:hint="eastAsia" w:ascii="仿宋_GB2312" w:eastAsia="仿宋_GB2312"/>
          <w:spacing w:val="0"/>
          <w:sz w:val="32"/>
          <w:szCs w:val="32"/>
        </w:rPr>
        <w:t>开通项目审批“绿色审批通道”，帮助企业解决手续办理问题</w:t>
      </w:r>
      <w:r>
        <w:rPr>
          <w:rFonts w:hint="eastAsia" w:ascii="仿宋_GB2312" w:eastAsia="仿宋_GB2312"/>
          <w:spacing w:val="0"/>
          <w:sz w:val="32"/>
          <w:szCs w:val="32"/>
          <w:lang w:eastAsia="zh-CN"/>
        </w:rPr>
        <w:t>。</w:t>
      </w:r>
      <w:r>
        <w:rPr>
          <w:rFonts w:hint="eastAsia" w:ascii="仿宋_GB2312" w:eastAsia="仿宋_GB2312"/>
          <w:spacing w:val="0"/>
          <w:sz w:val="32"/>
          <w:szCs w:val="32"/>
        </w:rPr>
        <w:t>比如，将办理建筑工程施工许可优化为分1、2、3不同个场景阶段办理，让办证更简易，“拿地即开工”成为现实。四是全面实施告知承诺制和容缺受理制，梳理337项容缺受理事项清单，54项告知承诺事项清单，实现485项非核心材料可容缺，解决“材料不齐不能办”的审批困境，帮助办事企业群众少跑腿、好办事。</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四、2023年推进法治政府建设主要安排</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法治政府建设示范市创建成功，为政务服务事业发展提供了基本遵循和方向指引，我局将以此为契机，找准结合点和发力点，推动法治政府建设成果有效转化为政务服务效能提升，为服务我区经济社会发展作出新的更大贡献。</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（一）严格依法行政。</w:t>
      </w:r>
      <w:r>
        <w:rPr>
          <w:rFonts w:hint="eastAsia" w:ascii="仿宋_GB2312" w:hAnsi="仿宋_GB2312" w:eastAsia="仿宋_GB2312" w:cs="仿宋_GB2312"/>
          <w:sz w:val="32"/>
          <w:szCs w:val="32"/>
          <w:lang w:val="en-US" w:eastAsia="zh-CN"/>
        </w:rPr>
        <w:t>深化提升政务服务标准化建设，主动落实执法公开，用法治给行政权定规矩、划界限。强化法治宣传，丰富普法形式，不断提升执法人员法治意识，保证行政权的行使严格依照宪法法律进行，法定职责必须为，法无授权不可为。</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（二）提升行政效能。</w:t>
      </w:r>
      <w:r>
        <w:rPr>
          <w:rFonts w:hint="eastAsia" w:ascii="仿宋_GB2312" w:hAnsi="仿宋_GB2312" w:eastAsia="仿宋_GB2312" w:cs="仿宋_GB2312"/>
          <w:sz w:val="32"/>
          <w:szCs w:val="32"/>
          <w:lang w:val="en-US" w:eastAsia="zh-CN"/>
        </w:rPr>
        <w:t>坚持问民需、听民意、解民忧，持续深化改革，增强运用行政权解决人民群众急难愁盼问题的能力。规范执法程序，提高执法水平，强化执法监督，体现公平正义，提升人民群众对行政结果的满意度。</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（三）增强服务能力。</w:t>
      </w:r>
      <w:r>
        <w:rPr>
          <w:rFonts w:hint="eastAsia" w:ascii="仿宋_GB2312" w:hAnsi="仿宋_GB2312" w:eastAsia="仿宋_GB2312" w:cs="仿宋_GB2312"/>
          <w:sz w:val="32"/>
          <w:szCs w:val="32"/>
          <w:lang w:val="en-US" w:eastAsia="zh-CN"/>
        </w:rPr>
        <w:t>进一步优化整合提升政务大厅“一站式”服务功能，合理布局窗口设置。推进数据汇聚共享，深化“一网通办”，推动实现更多政务服务事项集成办、跨域办、智能办，增强人民群众获得感、幸福感和安全感。</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专此报告。</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righ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台儿庄区行政审批服务局</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18" w:firstLineChars="200"/>
        <w:jc w:val="center"/>
        <w:textAlignment w:val="baseline"/>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 xml:space="preserve">                                 2023年2月3日  </w:t>
      </w:r>
    </w:p>
    <w:p>
      <w:pPr>
        <w:pStyle w:val="10"/>
        <w:keepNext w:val="0"/>
        <w:keepLines w:val="0"/>
        <w:pageBreakBefore w:val="0"/>
        <w:widowControl w:val="0"/>
        <w:kinsoku/>
        <w:wordWrap/>
        <w:overflowPunct/>
        <w:topLinePunct w:val="0"/>
        <w:bidi w:val="0"/>
        <w:adjustRightInd w:val="0"/>
        <w:spacing w:line="540" w:lineRule="exact"/>
        <w:jc w:val="both"/>
        <w:rPr>
          <w:rFonts w:hint="eastAsia" w:ascii="宋体" w:hAnsi="宋体" w:eastAsia="仿宋_GB2312"/>
          <w:sz w:val="32"/>
          <w:szCs w:val="32"/>
          <w:lang w:val="en-US" w:eastAsia="zh-CN"/>
        </w:rPr>
      </w:pPr>
      <w:bookmarkStart w:id="0" w:name="_GoBack"/>
      <w:bookmarkEnd w:id="0"/>
    </w:p>
    <w:sectPr>
      <w:pgSz w:w="11906" w:h="16838"/>
      <w:pgMar w:top="2098" w:right="1587" w:bottom="1984" w:left="1587" w:header="851" w:footer="992" w:gutter="0"/>
      <w:cols w:space="0" w:num="1"/>
      <w:rtlGutter w:val="0"/>
      <w:docGrid w:type="linesAndChars" w:linePitch="57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falt">
    <w:altName w:val="MingLiU-ExtB"/>
    <w:panose1 w:val="00000000000000000000"/>
    <w:charset w:val="88"/>
    <w:family w:val="modern"/>
    <w:pitch w:val="default"/>
    <w:sig w:usb0="00000000" w:usb1="00000000" w:usb2="00000010" w:usb3="00000000" w:csb0="001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DhiNGZjNTc3NmFlYmU0ZGFkNTE1NmNhOGQyMjUifQ=="/>
  </w:docVars>
  <w:rsids>
    <w:rsidRoot w:val="00000000"/>
    <w:rsid w:val="001113BD"/>
    <w:rsid w:val="0014351C"/>
    <w:rsid w:val="002E01C1"/>
    <w:rsid w:val="00963D4B"/>
    <w:rsid w:val="00A6244D"/>
    <w:rsid w:val="04390C0B"/>
    <w:rsid w:val="04DC0C65"/>
    <w:rsid w:val="05946D18"/>
    <w:rsid w:val="059F7571"/>
    <w:rsid w:val="06DA4FED"/>
    <w:rsid w:val="07950036"/>
    <w:rsid w:val="07C1771F"/>
    <w:rsid w:val="07DB478B"/>
    <w:rsid w:val="08017F69"/>
    <w:rsid w:val="08A07782"/>
    <w:rsid w:val="0A96708F"/>
    <w:rsid w:val="0BFA3200"/>
    <w:rsid w:val="0C2801BA"/>
    <w:rsid w:val="0C607416"/>
    <w:rsid w:val="0CC31C91"/>
    <w:rsid w:val="0CF956B3"/>
    <w:rsid w:val="0D49296E"/>
    <w:rsid w:val="0EF82120"/>
    <w:rsid w:val="0F6459AD"/>
    <w:rsid w:val="111451B1"/>
    <w:rsid w:val="1182036D"/>
    <w:rsid w:val="12755AF3"/>
    <w:rsid w:val="12794C71"/>
    <w:rsid w:val="14531BA8"/>
    <w:rsid w:val="1497412F"/>
    <w:rsid w:val="14A95C11"/>
    <w:rsid w:val="18C1177B"/>
    <w:rsid w:val="18F97167"/>
    <w:rsid w:val="196C7C35"/>
    <w:rsid w:val="1A0F4768"/>
    <w:rsid w:val="1D874F90"/>
    <w:rsid w:val="1E2B45A7"/>
    <w:rsid w:val="1E8E65A3"/>
    <w:rsid w:val="1F0625DD"/>
    <w:rsid w:val="202F4421"/>
    <w:rsid w:val="20466D83"/>
    <w:rsid w:val="21B7196D"/>
    <w:rsid w:val="21F901D7"/>
    <w:rsid w:val="238F2EB3"/>
    <w:rsid w:val="23A423C5"/>
    <w:rsid w:val="24B24430"/>
    <w:rsid w:val="25656070"/>
    <w:rsid w:val="264659B5"/>
    <w:rsid w:val="27997CE9"/>
    <w:rsid w:val="27BF41F2"/>
    <w:rsid w:val="28133675"/>
    <w:rsid w:val="284020F7"/>
    <w:rsid w:val="290851A4"/>
    <w:rsid w:val="290E59DA"/>
    <w:rsid w:val="29E72BF1"/>
    <w:rsid w:val="2B7737C2"/>
    <w:rsid w:val="2C6B1CD2"/>
    <w:rsid w:val="2D5D3ADD"/>
    <w:rsid w:val="2E402CEA"/>
    <w:rsid w:val="2EA4771D"/>
    <w:rsid w:val="2F4A2072"/>
    <w:rsid w:val="2F6A6270"/>
    <w:rsid w:val="2FF93511"/>
    <w:rsid w:val="30226B4B"/>
    <w:rsid w:val="316C47F3"/>
    <w:rsid w:val="31C53FAF"/>
    <w:rsid w:val="32EE1CBC"/>
    <w:rsid w:val="33ED3D96"/>
    <w:rsid w:val="342E1F62"/>
    <w:rsid w:val="355408BF"/>
    <w:rsid w:val="356E7B7E"/>
    <w:rsid w:val="360B0081"/>
    <w:rsid w:val="388A34DF"/>
    <w:rsid w:val="39CE38A0"/>
    <w:rsid w:val="3AA840F1"/>
    <w:rsid w:val="3AB962FE"/>
    <w:rsid w:val="3AE16BF7"/>
    <w:rsid w:val="3B6E0E96"/>
    <w:rsid w:val="3C504A40"/>
    <w:rsid w:val="3E412892"/>
    <w:rsid w:val="41252EC6"/>
    <w:rsid w:val="42676E49"/>
    <w:rsid w:val="4290203A"/>
    <w:rsid w:val="45E365CD"/>
    <w:rsid w:val="46C16C66"/>
    <w:rsid w:val="46E42955"/>
    <w:rsid w:val="47CB2B77"/>
    <w:rsid w:val="48F8218B"/>
    <w:rsid w:val="4AA23E19"/>
    <w:rsid w:val="4CBE77A4"/>
    <w:rsid w:val="4CC41E42"/>
    <w:rsid w:val="4F6665FD"/>
    <w:rsid w:val="504D192E"/>
    <w:rsid w:val="51685614"/>
    <w:rsid w:val="529E1C09"/>
    <w:rsid w:val="530A3743"/>
    <w:rsid w:val="54901A26"/>
    <w:rsid w:val="54B24BD6"/>
    <w:rsid w:val="593C40C0"/>
    <w:rsid w:val="599446D7"/>
    <w:rsid w:val="5B1C04B7"/>
    <w:rsid w:val="5BAA01D6"/>
    <w:rsid w:val="5CD40853"/>
    <w:rsid w:val="5E1C257C"/>
    <w:rsid w:val="60191B86"/>
    <w:rsid w:val="60311B03"/>
    <w:rsid w:val="63500CFE"/>
    <w:rsid w:val="64682077"/>
    <w:rsid w:val="64C37BF6"/>
    <w:rsid w:val="651915C4"/>
    <w:rsid w:val="65654809"/>
    <w:rsid w:val="665C5C0C"/>
    <w:rsid w:val="66AD63BC"/>
    <w:rsid w:val="67FA56DC"/>
    <w:rsid w:val="682B23D7"/>
    <w:rsid w:val="69623539"/>
    <w:rsid w:val="698E432E"/>
    <w:rsid w:val="6B797260"/>
    <w:rsid w:val="6C1864A5"/>
    <w:rsid w:val="6D0B038C"/>
    <w:rsid w:val="6E347E0E"/>
    <w:rsid w:val="6F35349E"/>
    <w:rsid w:val="70147557"/>
    <w:rsid w:val="7334488F"/>
    <w:rsid w:val="73BE1CB4"/>
    <w:rsid w:val="73F13E37"/>
    <w:rsid w:val="74184819"/>
    <w:rsid w:val="754937FF"/>
    <w:rsid w:val="75AB6268"/>
    <w:rsid w:val="75D5764D"/>
    <w:rsid w:val="7879089F"/>
    <w:rsid w:val="78C17559"/>
    <w:rsid w:val="79C05B48"/>
    <w:rsid w:val="7D4274B2"/>
    <w:rsid w:val="7E113D80"/>
    <w:rsid w:val="7E590F57"/>
    <w:rsid w:val="7F9372D5"/>
    <w:rsid w:val="7FDD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黑体" w:hAnsi="黑体" w:eastAsia="黑体"/>
      <w:sz w:val="32"/>
      <w:szCs w:val="32"/>
    </w:rPr>
  </w:style>
  <w:style w:type="paragraph" w:styleId="4">
    <w:name w:val="Body Text"/>
    <w:basedOn w:val="1"/>
    <w:next w:val="1"/>
    <w:qFormat/>
    <w:uiPriority w:val="99"/>
    <w:pPr>
      <w:shd w:val="clear" w:color="auto" w:fill="FFFFFF"/>
      <w:spacing w:before="780" w:line="497" w:lineRule="exact"/>
      <w:jc w:val="distribute"/>
    </w:pPr>
    <w:rPr>
      <w:rFonts w:ascii="MingLiUfalt" w:hAnsi="MingLiUfalt" w:eastAsia="MingLiUfalt" w:cs="MingLiUfalt"/>
      <w:sz w:val="30"/>
      <w:szCs w:val="30"/>
    </w:rPr>
  </w:style>
  <w:style w:type="paragraph" w:styleId="5">
    <w:name w:val="footer"/>
    <w:basedOn w:val="1"/>
    <w:qFormat/>
    <w:uiPriority w:val="0"/>
    <w:pPr>
      <w:tabs>
        <w:tab w:val="center" w:pos="4153"/>
        <w:tab w:val="right" w:pos="8306"/>
      </w:tabs>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qFormat/>
    <w:uiPriority w:val="99"/>
    <w:pPr>
      <w:widowControl w:val="0"/>
      <w:autoSpaceDE w:val="0"/>
      <w:autoSpaceDN w:val="0"/>
      <w:adjustRightInd w:val="0"/>
    </w:pPr>
    <w:rPr>
      <w:rFonts w:ascii="方正小标宋简体" w:hAnsi="方正小标宋简体" w:eastAsia="方正小标宋简体" w:cs="方正小标宋简体"/>
      <w:color w:val="000000"/>
      <w:kern w:val="0"/>
      <w:sz w:val="24"/>
      <w:szCs w:val="24"/>
      <w:lang w:val="en-US" w:eastAsia="zh-CN" w:bidi="ar-SA"/>
    </w:rPr>
  </w:style>
  <w:style w:type="paragraph" w:customStyle="1" w:styleId="11">
    <w:name w:val="章标题"/>
    <w:basedOn w:val="1"/>
    <w:next w:val="1"/>
    <w:qFormat/>
    <w:uiPriority w:val="0"/>
    <w:pPr>
      <w:adjustRightInd/>
      <w:snapToGrid/>
      <w:spacing w:before="158" w:after="153" w:line="646" w:lineRule="atLeast"/>
      <w:jc w:val="center"/>
    </w:pPr>
    <w:rPr>
      <w:rFonts w:ascii="Arial" w:hAnsi="Times New Roman" w:eastAsia="黑体"/>
      <w:color w:val="000000"/>
      <w:sz w:val="31"/>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3738</Words>
  <Characters>3826</Characters>
  <Lines>0</Lines>
  <Paragraphs>0</Paragraphs>
  <TotalTime>2</TotalTime>
  <ScaleCrop>false</ScaleCrop>
  <LinksUpToDate>false</LinksUpToDate>
  <CharactersWithSpaces>3886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2020-06-04T06:35:00Z</dcterms:created>
  <dc:creator>Administrator</dc:creator>
  <cp:lastModifiedBy>Administrator</cp:lastModifiedBy>
  <dcterms:modified xsi:type="dcterms:W3CDTF">2023-02-08T07:08:24Z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2263B3ED6AED48528F018A6FF8F7B636</vt:lpwstr>
  </property>
</Properties>
</file>